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6CC144" w14:textId="0D8229B8" w:rsidR="00AD771A" w:rsidRPr="00BB2604" w:rsidRDefault="009306E5" w:rsidP="001B151D">
      <w:pPr>
        <w:ind w:right="426"/>
        <w:rPr>
          <w:rFonts w:ascii="Cambria" w:hAnsi="Cambria"/>
          <w:sz w:val="22"/>
          <w:szCs w:val="22"/>
        </w:rPr>
      </w:pPr>
      <w:r>
        <w:rPr>
          <w:rFonts w:ascii="Cambria" w:hAnsi="Cambria" w:cs="Arial"/>
          <w:b/>
          <w:sz w:val="32"/>
          <w:szCs w:val="32"/>
        </w:rPr>
        <w:t>Neue Verbindungselemente für mehr Sicherheit und Komfort bei Arbeiten in der Höhe</w:t>
      </w:r>
    </w:p>
    <w:p w14:paraId="481CA25D" w14:textId="77777777" w:rsidR="00AF56E8" w:rsidRPr="00503FEA" w:rsidRDefault="00AF56E8" w:rsidP="001B151D">
      <w:pPr>
        <w:jc w:val="both"/>
        <w:rPr>
          <w:rFonts w:ascii="Cambria" w:hAnsi="Cambria" w:cs="Arial Hebrew Scholar"/>
          <w:sz w:val="22"/>
          <w:szCs w:val="22"/>
        </w:rPr>
      </w:pPr>
    </w:p>
    <w:p w14:paraId="651DBF63" w14:textId="77777777" w:rsidR="00C10869" w:rsidRPr="00D72347" w:rsidRDefault="00C10869" w:rsidP="00C10869">
      <w:pPr>
        <w:ind w:right="567"/>
        <w:jc w:val="both"/>
        <w:rPr>
          <w:rFonts w:ascii="Gotham Rounded Book" w:hAnsi="Gotham Rounded Book"/>
          <w:sz w:val="22"/>
          <w:szCs w:val="22"/>
        </w:rPr>
      </w:pPr>
    </w:p>
    <w:p w14:paraId="3DC90201" w14:textId="31838310" w:rsidR="00520CDA" w:rsidRPr="00503FEA" w:rsidRDefault="00CA64BF" w:rsidP="00503FEA">
      <w:pPr>
        <w:ind w:right="567"/>
        <w:jc w:val="both"/>
        <w:rPr>
          <w:rFonts w:ascii="Cambria" w:hAnsi="Cambria"/>
          <w:b/>
          <w:bCs/>
          <w:sz w:val="22"/>
          <w:szCs w:val="22"/>
        </w:rPr>
      </w:pPr>
      <w:r>
        <w:rPr>
          <w:rFonts w:ascii="Cambria" w:hAnsi="Cambria"/>
          <w:b/>
          <w:bCs/>
          <w:sz w:val="22"/>
          <w:szCs w:val="22"/>
        </w:rPr>
        <w:t xml:space="preserve">Mit </w:t>
      </w:r>
      <w:r w:rsidR="00505A5C">
        <w:rPr>
          <w:rFonts w:ascii="Cambria" w:hAnsi="Cambria"/>
          <w:b/>
          <w:bCs/>
          <w:sz w:val="22"/>
          <w:szCs w:val="22"/>
        </w:rPr>
        <w:t>drei</w:t>
      </w:r>
      <w:r>
        <w:rPr>
          <w:rFonts w:ascii="Cambria" w:hAnsi="Cambria"/>
          <w:b/>
          <w:bCs/>
          <w:sz w:val="22"/>
          <w:szCs w:val="22"/>
        </w:rPr>
        <w:t xml:space="preserve"> </w:t>
      </w:r>
      <w:r w:rsidR="00233599">
        <w:rPr>
          <w:rFonts w:ascii="Cambria" w:hAnsi="Cambria"/>
          <w:b/>
          <w:bCs/>
          <w:sz w:val="22"/>
          <w:szCs w:val="22"/>
        </w:rPr>
        <w:t xml:space="preserve">wichtigen </w:t>
      </w:r>
      <w:r>
        <w:rPr>
          <w:rFonts w:ascii="Cambria" w:hAnsi="Cambria"/>
          <w:b/>
          <w:bCs/>
          <w:sz w:val="22"/>
          <w:szCs w:val="22"/>
        </w:rPr>
        <w:t xml:space="preserve">Neuheiten </w:t>
      </w:r>
      <w:r w:rsidR="00505A5C">
        <w:rPr>
          <w:rFonts w:ascii="Cambria" w:hAnsi="Cambria"/>
          <w:b/>
          <w:bCs/>
          <w:sz w:val="22"/>
          <w:szCs w:val="22"/>
        </w:rPr>
        <w:t xml:space="preserve">in seinem Portfolio an Anschlageinrichtungen </w:t>
      </w:r>
      <w:r>
        <w:rPr>
          <w:rFonts w:ascii="Cambria" w:hAnsi="Cambria"/>
          <w:b/>
          <w:bCs/>
          <w:sz w:val="22"/>
          <w:szCs w:val="22"/>
        </w:rPr>
        <w:t>startet</w:t>
      </w:r>
      <w:r w:rsidR="009E15D9">
        <w:rPr>
          <w:rFonts w:ascii="Cambria" w:hAnsi="Cambria"/>
          <w:b/>
          <w:bCs/>
          <w:sz w:val="22"/>
          <w:szCs w:val="22"/>
        </w:rPr>
        <w:t xml:space="preserve"> </w:t>
      </w:r>
      <w:r>
        <w:rPr>
          <w:rFonts w:ascii="Cambria" w:hAnsi="Cambria"/>
          <w:b/>
          <w:bCs/>
          <w:sz w:val="22"/>
          <w:szCs w:val="22"/>
        </w:rPr>
        <w:t xml:space="preserve">CAMP </w:t>
      </w:r>
      <w:r w:rsidR="00FD1DFB">
        <w:rPr>
          <w:rFonts w:ascii="Cambria" w:hAnsi="Cambria"/>
          <w:b/>
          <w:bCs/>
          <w:sz w:val="22"/>
          <w:szCs w:val="22"/>
        </w:rPr>
        <w:t>Work</w:t>
      </w:r>
      <w:r>
        <w:rPr>
          <w:rFonts w:ascii="Cambria" w:hAnsi="Cambria"/>
          <w:b/>
          <w:bCs/>
          <w:sz w:val="22"/>
          <w:szCs w:val="22"/>
        </w:rPr>
        <w:t xml:space="preserve">, </w:t>
      </w:r>
      <w:r w:rsidR="009E15D9">
        <w:rPr>
          <w:rFonts w:ascii="Cambria" w:hAnsi="Cambria"/>
          <w:b/>
          <w:bCs/>
          <w:sz w:val="22"/>
          <w:szCs w:val="22"/>
        </w:rPr>
        <w:t>de</w:t>
      </w:r>
      <w:r>
        <w:rPr>
          <w:rFonts w:ascii="Cambria" w:hAnsi="Cambria"/>
          <w:b/>
          <w:bCs/>
          <w:sz w:val="22"/>
          <w:szCs w:val="22"/>
        </w:rPr>
        <w:t>r</w:t>
      </w:r>
      <w:r w:rsidR="009E15D9">
        <w:rPr>
          <w:rFonts w:ascii="Cambria" w:hAnsi="Cambria"/>
          <w:b/>
          <w:bCs/>
          <w:sz w:val="22"/>
          <w:szCs w:val="22"/>
        </w:rPr>
        <w:t xml:space="preserve"> italienische </w:t>
      </w:r>
      <w:r>
        <w:rPr>
          <w:rFonts w:ascii="Cambria" w:hAnsi="Cambria"/>
          <w:b/>
          <w:bCs/>
          <w:sz w:val="22"/>
          <w:szCs w:val="22"/>
        </w:rPr>
        <w:t>Spezialist für sicheres Arbeiten in der Höhe, in das neue Jahr</w:t>
      </w:r>
      <w:r w:rsidR="009E15D9">
        <w:rPr>
          <w:rFonts w:ascii="Cambria" w:hAnsi="Cambria"/>
          <w:b/>
          <w:bCs/>
          <w:sz w:val="22"/>
          <w:szCs w:val="22"/>
        </w:rPr>
        <w:t>.</w:t>
      </w:r>
      <w:r>
        <w:rPr>
          <w:rFonts w:ascii="Cambria" w:hAnsi="Cambria"/>
          <w:b/>
          <w:bCs/>
          <w:sz w:val="22"/>
          <w:szCs w:val="22"/>
        </w:rPr>
        <w:t xml:space="preserve"> </w:t>
      </w:r>
      <w:r w:rsidR="009E15D9">
        <w:rPr>
          <w:rFonts w:ascii="Cambria" w:hAnsi="Cambria"/>
          <w:b/>
          <w:bCs/>
          <w:sz w:val="22"/>
          <w:szCs w:val="22"/>
        </w:rPr>
        <w:t xml:space="preserve"> </w:t>
      </w:r>
      <w:r>
        <w:rPr>
          <w:rFonts w:ascii="Cambria" w:hAnsi="Cambria"/>
          <w:b/>
          <w:bCs/>
          <w:sz w:val="22"/>
          <w:szCs w:val="22"/>
        </w:rPr>
        <w:t xml:space="preserve">Neben einem neuen einzigartigen Verbindungselement </w:t>
      </w:r>
      <w:r w:rsidR="00505A5C">
        <w:rPr>
          <w:rFonts w:ascii="Cambria" w:hAnsi="Cambria"/>
          <w:b/>
          <w:bCs/>
          <w:sz w:val="22"/>
          <w:szCs w:val="22"/>
        </w:rPr>
        <w:t xml:space="preserve">präsentiert das Familienunternehmen auch ein </w:t>
      </w:r>
      <w:r w:rsidR="00FE6DBC">
        <w:rPr>
          <w:rFonts w:ascii="Cambria" w:hAnsi="Cambria"/>
          <w:b/>
          <w:bCs/>
          <w:sz w:val="22"/>
          <w:szCs w:val="22"/>
        </w:rPr>
        <w:t>innovatives</w:t>
      </w:r>
      <w:r w:rsidR="00505A5C">
        <w:rPr>
          <w:rFonts w:ascii="Cambria" w:hAnsi="Cambria"/>
          <w:b/>
          <w:bCs/>
          <w:sz w:val="22"/>
          <w:szCs w:val="22"/>
        </w:rPr>
        <w:t xml:space="preserve"> Wirbelelement sowie e</w:t>
      </w:r>
      <w:r w:rsidR="00FE6DBC">
        <w:rPr>
          <w:rFonts w:ascii="Cambria" w:hAnsi="Cambria"/>
          <w:b/>
          <w:bCs/>
          <w:sz w:val="22"/>
          <w:szCs w:val="22"/>
        </w:rPr>
        <w:t>ine Drehvorrichtung, die maximale Bewegungsfreiheit verspricht.</w:t>
      </w:r>
      <w:r w:rsidR="006803E5">
        <w:rPr>
          <w:rFonts w:ascii="Cambria" w:hAnsi="Cambria"/>
          <w:b/>
          <w:bCs/>
          <w:sz w:val="22"/>
          <w:szCs w:val="22"/>
        </w:rPr>
        <w:t xml:space="preserve"> </w:t>
      </w:r>
      <w:r w:rsidR="00FD1DFB">
        <w:rPr>
          <w:rFonts w:ascii="Cambria" w:hAnsi="Cambria"/>
          <w:b/>
          <w:bCs/>
          <w:sz w:val="22"/>
          <w:szCs w:val="22"/>
        </w:rPr>
        <w:t>A</w:t>
      </w:r>
      <w:r w:rsidR="00200466">
        <w:rPr>
          <w:rFonts w:ascii="Cambria" w:hAnsi="Cambria"/>
          <w:b/>
          <w:bCs/>
          <w:sz w:val="22"/>
          <w:szCs w:val="22"/>
        </w:rPr>
        <w:t>lle</w:t>
      </w:r>
      <w:r w:rsidR="00FD1DFB">
        <w:rPr>
          <w:rFonts w:ascii="Cambria" w:hAnsi="Cambria"/>
          <w:b/>
          <w:bCs/>
          <w:sz w:val="22"/>
          <w:szCs w:val="22"/>
        </w:rPr>
        <w:t xml:space="preserve"> drei</w:t>
      </w:r>
      <w:r w:rsidR="00200466">
        <w:rPr>
          <w:rFonts w:ascii="Cambria" w:hAnsi="Cambria"/>
          <w:b/>
          <w:bCs/>
          <w:sz w:val="22"/>
          <w:szCs w:val="22"/>
        </w:rPr>
        <w:t xml:space="preserve"> Produkte </w:t>
      </w:r>
      <w:r w:rsidR="00FD1DFB">
        <w:rPr>
          <w:rFonts w:ascii="Cambria" w:hAnsi="Cambria"/>
          <w:b/>
          <w:bCs/>
          <w:sz w:val="22"/>
          <w:szCs w:val="22"/>
        </w:rPr>
        <w:t xml:space="preserve">sind zudem </w:t>
      </w:r>
      <w:r w:rsidR="00200466">
        <w:rPr>
          <w:rFonts w:ascii="Cambria" w:hAnsi="Cambria"/>
          <w:b/>
          <w:bCs/>
          <w:sz w:val="22"/>
          <w:szCs w:val="22"/>
        </w:rPr>
        <w:t xml:space="preserve">komplett „Made in </w:t>
      </w:r>
      <w:proofErr w:type="spellStart"/>
      <w:r w:rsidR="00200466">
        <w:rPr>
          <w:rFonts w:ascii="Cambria" w:hAnsi="Cambria"/>
          <w:b/>
          <w:bCs/>
          <w:sz w:val="22"/>
          <w:szCs w:val="22"/>
        </w:rPr>
        <w:t>Italy</w:t>
      </w:r>
      <w:proofErr w:type="spellEnd"/>
      <w:r w:rsidR="00200466">
        <w:rPr>
          <w:rFonts w:ascii="Cambria" w:hAnsi="Cambria"/>
          <w:b/>
          <w:bCs/>
          <w:sz w:val="22"/>
          <w:szCs w:val="22"/>
        </w:rPr>
        <w:t>“</w:t>
      </w:r>
      <w:r w:rsidR="00672FDB">
        <w:rPr>
          <w:rFonts w:ascii="Cambria" w:hAnsi="Cambria"/>
          <w:b/>
          <w:bCs/>
          <w:sz w:val="22"/>
          <w:szCs w:val="22"/>
        </w:rPr>
        <w:t>.</w:t>
      </w:r>
    </w:p>
    <w:p w14:paraId="2E6ACA0C" w14:textId="311278D6" w:rsidR="006D6FD5" w:rsidRPr="00503FEA" w:rsidRDefault="006D6FD5" w:rsidP="00503FEA">
      <w:pPr>
        <w:ind w:right="567"/>
        <w:jc w:val="both"/>
        <w:rPr>
          <w:rFonts w:ascii="Cambria" w:hAnsi="Cambria"/>
          <w:sz w:val="22"/>
          <w:szCs w:val="22"/>
        </w:rPr>
      </w:pPr>
    </w:p>
    <w:p w14:paraId="74942C23" w14:textId="2FCC3D49" w:rsidR="009614BC" w:rsidRPr="00503FEA" w:rsidRDefault="009614BC" w:rsidP="00503FEA">
      <w:pPr>
        <w:ind w:right="567"/>
        <w:jc w:val="both"/>
        <w:rPr>
          <w:rFonts w:ascii="Cambria" w:hAnsi="Cambria"/>
          <w:sz w:val="22"/>
          <w:szCs w:val="22"/>
        </w:rPr>
      </w:pPr>
    </w:p>
    <w:p w14:paraId="7628E8F5" w14:textId="0F41D678" w:rsidR="00330927" w:rsidRDefault="003E66D5" w:rsidP="00503FEA">
      <w:pPr>
        <w:ind w:right="567"/>
        <w:jc w:val="both"/>
      </w:pPr>
      <w:r>
        <w:t xml:space="preserve">Seilzugangstechniker, </w:t>
      </w:r>
      <w:r w:rsidR="00920441">
        <w:t xml:space="preserve">Industrie- und Baumkletterer oder auch Rettungspersonal dürften über das neue Wirbelelement „Enigma“ von CAMP </w:t>
      </w:r>
      <w:r w:rsidR="00FD1DFB">
        <w:t>Work</w:t>
      </w:r>
      <w:r w:rsidR="00920441">
        <w:t xml:space="preserve"> begeistert sein, denn es kann vollständig geöffnet werden</w:t>
      </w:r>
      <w:r w:rsidR="003E5B00">
        <w:t>. „Enigma“ ist mit großen schwingbaren Ringen</w:t>
      </w:r>
      <w:r w:rsidR="00814AA7">
        <w:t xml:space="preserve"> </w:t>
      </w:r>
      <w:r w:rsidR="0081664F">
        <w:t xml:space="preserve">aus einer Aluminiumlegierung </w:t>
      </w:r>
      <w:r w:rsidR="00814AA7">
        <w:t>ausgestatte</w:t>
      </w:r>
      <w:r w:rsidR="0081664F">
        <w:t>t. D</w:t>
      </w:r>
      <w:r w:rsidR="00814AA7">
        <w:t xml:space="preserve">ie </w:t>
      </w:r>
      <w:r w:rsidR="0081664F">
        <w:t xml:space="preserve">beiden Ringe mit 18 Millimeter großen Öffnungen ermöglichen </w:t>
      </w:r>
      <w:r w:rsidR="00814AA7">
        <w:t xml:space="preserve">eine direkte Verbindung von Metall- </w:t>
      </w:r>
      <w:r w:rsidR="0081664F">
        <w:t xml:space="preserve">und </w:t>
      </w:r>
      <w:r w:rsidR="00814AA7">
        <w:t xml:space="preserve">Textilteilen ohne den zusätzlichen Einsatz von Karabinern. </w:t>
      </w:r>
      <w:r w:rsidR="0081664F">
        <w:t>Das geräumige Innere der Ringe lässt zudem die Verbindung mehrerer Geräte gleichzeitig zu.</w:t>
      </w:r>
    </w:p>
    <w:p w14:paraId="1AB7E9B9" w14:textId="1C8E2936" w:rsidR="00465ACE" w:rsidRDefault="00465ACE" w:rsidP="00503FEA">
      <w:pPr>
        <w:ind w:right="567"/>
        <w:jc w:val="both"/>
      </w:pPr>
    </w:p>
    <w:p w14:paraId="14CFCFA4" w14:textId="1944B3DA" w:rsidR="00465ACE" w:rsidRPr="00465ACE" w:rsidRDefault="00465ACE" w:rsidP="00503FEA">
      <w:pPr>
        <w:ind w:right="567"/>
        <w:jc w:val="both"/>
        <w:rPr>
          <w:b/>
          <w:bCs/>
        </w:rPr>
      </w:pPr>
      <w:r w:rsidRPr="00465ACE">
        <w:rPr>
          <w:b/>
          <w:bCs/>
        </w:rPr>
        <w:t>Sicherheit auch in aufgeschraubte</w:t>
      </w:r>
      <w:r w:rsidR="00A575CF">
        <w:rPr>
          <w:b/>
          <w:bCs/>
        </w:rPr>
        <w:t>m</w:t>
      </w:r>
      <w:r w:rsidRPr="00465ACE">
        <w:rPr>
          <w:b/>
          <w:bCs/>
        </w:rPr>
        <w:t xml:space="preserve"> Zustand</w:t>
      </w:r>
    </w:p>
    <w:p w14:paraId="6BA6892D" w14:textId="77777777" w:rsidR="00330927" w:rsidRDefault="00330927" w:rsidP="00503FEA">
      <w:pPr>
        <w:ind w:right="567"/>
        <w:jc w:val="both"/>
      </w:pPr>
    </w:p>
    <w:p w14:paraId="130B8C6B" w14:textId="5A3B572C" w:rsidR="006A7824" w:rsidRDefault="00814AA7" w:rsidP="00503FEA">
      <w:pPr>
        <w:ind w:right="567"/>
        <w:jc w:val="both"/>
      </w:pPr>
      <w:r>
        <w:t xml:space="preserve">Der optimal zwischen den schwingbaren Ringen platzierte Drehkörper ermöglicht eine enorme Bewegungs- und auch Ausrichtungsfreiheit. Beide Ringe werden dank des innovativen Designs mit einer einzigen Schraube geöffnet. </w:t>
      </w:r>
      <w:r w:rsidR="00B14E2E">
        <w:t xml:space="preserve">Davon unabhängig schließt das Sicherheitsverriegelungssystem gegen die Arbeitsrichtung des Geräts. Dadurch ist nicht nur eine einfache, sondern auch eine sichere Montage gewährleistet. Das Besondere dabei ist, dass der Wirbel selbst in aufgeschraubtem Zustand unter Belastung zu 100 Prozent sicher ist. „Enigma“ </w:t>
      </w:r>
      <w:r w:rsidR="0076355D">
        <w:t xml:space="preserve">ist </w:t>
      </w:r>
      <w:r w:rsidR="00B14E2E">
        <w:t>das einzige Gerät am Markt, das dies leistet.</w:t>
      </w:r>
    </w:p>
    <w:p w14:paraId="522CB0C2" w14:textId="77777777" w:rsidR="00B14E2E" w:rsidRDefault="00B14E2E" w:rsidP="00503FEA">
      <w:pPr>
        <w:ind w:right="567"/>
        <w:jc w:val="both"/>
      </w:pPr>
    </w:p>
    <w:p w14:paraId="3C92B592" w14:textId="7D547DA7" w:rsidR="007E135B" w:rsidRDefault="00330927" w:rsidP="00503FEA">
      <w:pPr>
        <w:ind w:right="567"/>
        <w:jc w:val="both"/>
      </w:pPr>
      <w:r>
        <w:t xml:space="preserve">Der interne kugelgelagerte Drehmechanismus </w:t>
      </w:r>
      <w:r w:rsidR="0076355D">
        <w:t xml:space="preserve">der Verriegelung </w:t>
      </w:r>
      <w:r>
        <w:t>ist aus Edelstahl. Mit den Ringen und de</w:t>
      </w:r>
      <w:r w:rsidR="0076355D">
        <w:t>m</w:t>
      </w:r>
      <w:r>
        <w:t xml:space="preserve"> ebenfalls aus einer Aluminiumlegierung gefertigten Zentralkörper meistert „Enigma“ hohe Bruchlasten bis 23 kN und Arbeitsbelastungen bis 5 kN. D</w:t>
      </w:r>
      <w:r w:rsidR="0076355D">
        <w:t>as</w:t>
      </w:r>
      <w:r>
        <w:t xml:space="preserve"> sowohl in Edelstahl </w:t>
      </w:r>
      <w:r w:rsidR="007E135B">
        <w:t xml:space="preserve">mit rotem Drehkörper als auch komplett in Schwarz erhältliche „Enigma“ bringt trotz </w:t>
      </w:r>
      <w:r w:rsidR="0076355D">
        <w:t>dies</w:t>
      </w:r>
      <w:r w:rsidR="007E135B">
        <w:t>er Leistungsstärke nur 116 Gramm auf die Waage.</w:t>
      </w:r>
    </w:p>
    <w:p w14:paraId="2D65756B" w14:textId="28564631" w:rsidR="00465ACE" w:rsidRDefault="00465ACE" w:rsidP="00503FEA">
      <w:pPr>
        <w:ind w:right="567"/>
        <w:jc w:val="both"/>
      </w:pPr>
    </w:p>
    <w:p w14:paraId="10CF81BF" w14:textId="52D4B5FD" w:rsidR="00465ACE" w:rsidRPr="00465ACE" w:rsidRDefault="00465ACE" w:rsidP="00503FEA">
      <w:pPr>
        <w:ind w:right="567"/>
        <w:jc w:val="both"/>
        <w:rPr>
          <w:b/>
          <w:bCs/>
        </w:rPr>
      </w:pPr>
      <w:r w:rsidRPr="00465ACE">
        <w:rPr>
          <w:b/>
          <w:bCs/>
        </w:rPr>
        <w:t>Seilrolle „Turbolock“ mit einer Hand zu bedienen</w:t>
      </w:r>
    </w:p>
    <w:p w14:paraId="455691A3" w14:textId="77777777" w:rsidR="00465ACE" w:rsidRDefault="00465ACE" w:rsidP="00503FEA">
      <w:pPr>
        <w:ind w:right="567"/>
        <w:jc w:val="both"/>
      </w:pPr>
    </w:p>
    <w:p w14:paraId="634BAB43" w14:textId="3C185043" w:rsidR="00406E0A" w:rsidRDefault="00D4138C" w:rsidP="00503FEA">
      <w:pPr>
        <w:ind w:right="567"/>
        <w:jc w:val="both"/>
      </w:pPr>
      <w:r>
        <w:t xml:space="preserve">Maximale Sicherheit, </w:t>
      </w:r>
      <w:r w:rsidR="00671223">
        <w:t>modernstes</w:t>
      </w:r>
      <w:r>
        <w:t xml:space="preserve"> Design und ein hohes Maß an Komfort bietet „Turbolock“, die neue Seilrolle mit Rücklaufsperre des italienischen Spezialisten. Da</w:t>
      </w:r>
      <w:r w:rsidR="00671223">
        <w:t xml:space="preserve">s innovative Design </w:t>
      </w:r>
      <w:r>
        <w:t>der drehbaren Wang</w:t>
      </w:r>
      <w:r w:rsidR="00671223">
        <w:t>en</w:t>
      </w:r>
      <w:r>
        <w:t xml:space="preserve"> </w:t>
      </w:r>
      <w:r w:rsidR="00671223">
        <w:t xml:space="preserve">sowie des Öffnungssystems ermöglicht eine einhändige Bedienung. So lässt sich das Seil installieren, auch während die Rolle mit </w:t>
      </w:r>
      <w:r w:rsidR="00671223">
        <w:lastRenderedPageBreak/>
        <w:t xml:space="preserve">dem Anschlagpunkt verbunden ist. </w:t>
      </w:r>
      <w:r w:rsidR="00406E0A">
        <w:t xml:space="preserve">So wird </w:t>
      </w:r>
      <w:r w:rsidR="00671223">
        <w:t>ein Höchstmaß an Sicherheit gebote</w:t>
      </w:r>
      <w:r w:rsidR="00406E0A">
        <w:t>n</w:t>
      </w:r>
      <w:r w:rsidR="00671223">
        <w:t xml:space="preserve">, denn unter Last wird </w:t>
      </w:r>
      <w:r w:rsidR="00406E0A">
        <w:t>dadurch</w:t>
      </w:r>
      <w:r w:rsidR="00671223">
        <w:t xml:space="preserve"> ein Öffnen vermieden. </w:t>
      </w:r>
      <w:r w:rsidR="00406E0A">
        <w:t>Eine gezahnte Klemmnocke gewährt umgehenden und effektiven Halt für 8 bis 13 Millimeter starke Seile.</w:t>
      </w:r>
    </w:p>
    <w:p w14:paraId="42B9584E" w14:textId="77777777" w:rsidR="00406E0A" w:rsidRDefault="00406E0A" w:rsidP="00503FEA">
      <w:pPr>
        <w:ind w:right="567"/>
        <w:jc w:val="both"/>
      </w:pPr>
    </w:p>
    <w:p w14:paraId="3910AFD8" w14:textId="7357D48A" w:rsidR="00CC20D2" w:rsidRDefault="00406E0A" w:rsidP="00503FEA">
      <w:pPr>
        <w:ind w:right="567"/>
        <w:jc w:val="both"/>
      </w:pPr>
      <w:r>
        <w:t xml:space="preserve">Der Betätigungsmechanismus für eben diese Nocke </w:t>
      </w:r>
      <w:r w:rsidR="00672FDB">
        <w:t>liegt</w:t>
      </w:r>
      <w:r>
        <w:t xml:space="preserve"> gut geschützt zwischen den drehbaren Wangen, erlaubt dennoch ganz einfach mit einer Bewegung die Nocke zu öffnen, mit zwei Bewegungen hingegen wird ganz sicher die Sperrfunktion am Seil aktiviert.</w:t>
      </w:r>
      <w:r w:rsidR="00672FDB">
        <w:t xml:space="preserve"> Neben einem ausgezeichneten Rotationskoeffizienten (95 Prozent Wirkungsgrad) dank des großen Durchmessers der Riemenscheibe ist „Turbolock“ höchst belastbar. Heißgeschmiedete Wangen, eine Drehscheibe aus Aluminiumlegierung sowie Stifte und Nocken aus Edelstahl ermöglichen eine Bruchlast von 23 </w:t>
      </w:r>
      <w:r w:rsidR="00445157">
        <w:t>kN</w:t>
      </w:r>
      <w:r w:rsidR="00CC20D2">
        <w:t xml:space="preserve"> sowie eine maximale Tragfähigkeit von 2 x 2,5 kN. Der 198 Gramm leichte „Turbolock“ ist ebenfalls sowohl in den CAMP-Farben Edelstahl und Rot als auch in einer schwarzen Ausführung erhältlich.</w:t>
      </w:r>
    </w:p>
    <w:p w14:paraId="0953ACD2" w14:textId="6A19B639" w:rsidR="00465ACE" w:rsidRDefault="00465ACE" w:rsidP="00503FEA">
      <w:pPr>
        <w:ind w:right="567"/>
        <w:jc w:val="both"/>
      </w:pPr>
    </w:p>
    <w:p w14:paraId="7770A2E9" w14:textId="2D602BB5" w:rsidR="00465ACE" w:rsidRPr="00465ACE" w:rsidRDefault="00465ACE" w:rsidP="00503FEA">
      <w:pPr>
        <w:ind w:right="567"/>
        <w:jc w:val="both"/>
        <w:rPr>
          <w:b/>
          <w:bCs/>
        </w:rPr>
      </w:pPr>
      <w:r w:rsidRPr="00465ACE">
        <w:rPr>
          <w:b/>
          <w:bCs/>
        </w:rPr>
        <w:t>Hohe Bewegungsfreiheit mit Drehvorrichtung „</w:t>
      </w:r>
      <w:proofErr w:type="spellStart"/>
      <w:r w:rsidRPr="00465ACE">
        <w:rPr>
          <w:b/>
          <w:bCs/>
        </w:rPr>
        <w:t>Gyro</w:t>
      </w:r>
      <w:proofErr w:type="spellEnd"/>
      <w:r w:rsidRPr="00465ACE">
        <w:rPr>
          <w:b/>
          <w:bCs/>
        </w:rPr>
        <w:t xml:space="preserve"> 1“</w:t>
      </w:r>
    </w:p>
    <w:p w14:paraId="6286D755" w14:textId="77777777" w:rsidR="00CC20D2" w:rsidRDefault="00CC20D2" w:rsidP="00503FEA">
      <w:pPr>
        <w:ind w:right="567"/>
        <w:jc w:val="both"/>
      </w:pPr>
    </w:p>
    <w:p w14:paraId="2D108A92" w14:textId="7BF4DC77" w:rsidR="00910040" w:rsidRDefault="00CC20D2" w:rsidP="00503FEA">
      <w:pPr>
        <w:ind w:right="567"/>
        <w:jc w:val="both"/>
      </w:pPr>
      <w:r>
        <w:t>Maximale Bewegungsfreiheit bei minimaler Größe bietet die neue Drehvorrichtung „</w:t>
      </w:r>
      <w:proofErr w:type="spellStart"/>
      <w:r>
        <w:t>Gyro</w:t>
      </w:r>
      <w:proofErr w:type="spellEnd"/>
      <w:r>
        <w:t xml:space="preserve"> 1“. Die Kugelverbindung ermöglicht sowohl das Drehen als auch das Neigen zwischen den beiden Ringen mit einer auf dem Markt bislang einmaligen Kompaktheit. Die</w:t>
      </w:r>
      <w:r w:rsidR="003F7ED4">
        <w:t xml:space="preserve"> </w:t>
      </w:r>
      <w:r>
        <w:t xml:space="preserve">beiden Befestigungspunkte – einer aus </w:t>
      </w:r>
      <w:r w:rsidR="003F7ED4">
        <w:t>Edelstahl, der andere aus einer Aluminiumlegierung – sind über eine Verbindung aus Karbonstahl mit doppelter Korrosionsschutzbeschichtung miteinander verknüpft. Die durchdachte Drehverbindung „</w:t>
      </w:r>
      <w:proofErr w:type="spellStart"/>
      <w:r w:rsidR="003F7ED4">
        <w:t>Gyro</w:t>
      </w:r>
      <w:proofErr w:type="spellEnd"/>
      <w:r w:rsidR="003F7ED4">
        <w:t xml:space="preserve"> 1“ zeichnet sich neben der hohen Bewegungsfreiheit durch ihre Leichtigkeit von nur 76 Gramm, </w:t>
      </w:r>
      <w:r w:rsidR="007A21B9">
        <w:t>eine Belastbarkeit von 25 kN sowie eine Arbeitslast von 3 kN aus</w:t>
      </w:r>
      <w:r w:rsidR="00BC4F54">
        <w:t>.</w:t>
      </w:r>
      <w:r w:rsidR="0075076C">
        <w:t xml:space="preserve"> Das neue „</w:t>
      </w:r>
      <w:proofErr w:type="spellStart"/>
      <w:r w:rsidR="0075076C">
        <w:t>Gyro</w:t>
      </w:r>
      <w:proofErr w:type="spellEnd"/>
      <w:r w:rsidR="0075076C">
        <w:t xml:space="preserve"> 1“ ist die logische Weiterentwicklung der in den letzten Jahren erfolgreich im Markt eingeführten „</w:t>
      </w:r>
      <w:proofErr w:type="spellStart"/>
      <w:r w:rsidR="0075076C">
        <w:t>Gyro</w:t>
      </w:r>
      <w:proofErr w:type="spellEnd"/>
      <w:r w:rsidR="0075076C">
        <w:t xml:space="preserve"> 3“ und „</w:t>
      </w:r>
      <w:proofErr w:type="spellStart"/>
      <w:r w:rsidR="0075076C">
        <w:t>Gyro</w:t>
      </w:r>
      <w:proofErr w:type="spellEnd"/>
      <w:r w:rsidR="0075076C">
        <w:t xml:space="preserve"> 4“.</w:t>
      </w:r>
    </w:p>
    <w:p w14:paraId="13321C1A" w14:textId="046CBACF" w:rsidR="00BC4F54" w:rsidRDefault="00BC4F54" w:rsidP="00503FEA">
      <w:pPr>
        <w:ind w:right="567"/>
        <w:jc w:val="both"/>
      </w:pPr>
    </w:p>
    <w:p w14:paraId="5A4754DD" w14:textId="77A3D70E" w:rsidR="00BC4F54" w:rsidRDefault="00200466" w:rsidP="00503FEA">
      <w:pPr>
        <w:ind w:right="567"/>
        <w:jc w:val="both"/>
      </w:pPr>
      <w:r>
        <w:t xml:space="preserve">Mit einer neuen Software-Lösung will CAMP </w:t>
      </w:r>
      <w:r w:rsidR="0075076C">
        <w:t>Work</w:t>
      </w:r>
      <w:r>
        <w:t xml:space="preserve"> Wartung und Pflege einfacher gestalten – und das völlig herstellerunabhängig. Mittels einfach an den einzelnen Produkten aufbringbarer Aufkleber und NFC lassen sich die Produkte egal welchen Herstellers mit der Software eindeutig zuordnen. Einmalig sind die entsprechenden Daten ins System einzupflegen, anschließend </w:t>
      </w:r>
      <w:r w:rsidR="00A279EE">
        <w:t>übernimmt dann die Software und erinnert an Prüfintervalle, Wartungstermine oder Pflegerückstand. So können sich die Verantwortlichen sicher sein, dass ihre Materialien immer im ordnungsgemäßen Zustand sind und sicheres Arbeiten gewähren.</w:t>
      </w:r>
    </w:p>
    <w:p w14:paraId="05FD3226" w14:textId="77777777" w:rsidR="007E135B" w:rsidRDefault="007E135B" w:rsidP="00503FEA">
      <w:pPr>
        <w:ind w:right="567"/>
        <w:jc w:val="both"/>
        <w:rPr>
          <w:rFonts w:ascii="Cambria" w:hAnsi="Cambria"/>
          <w:sz w:val="22"/>
          <w:szCs w:val="22"/>
        </w:rPr>
      </w:pPr>
    </w:p>
    <w:p w14:paraId="227D8870" w14:textId="44E7E98F" w:rsidR="00AE4B5E" w:rsidRDefault="00AE4B5E" w:rsidP="00503FEA">
      <w:pPr>
        <w:ind w:right="567"/>
        <w:jc w:val="both"/>
        <w:rPr>
          <w:rFonts w:ascii="Cambria" w:hAnsi="Cambria"/>
          <w:sz w:val="22"/>
          <w:szCs w:val="22"/>
        </w:rPr>
      </w:pPr>
    </w:p>
    <w:p w14:paraId="71C15415" w14:textId="04446881" w:rsidR="00F34ED0" w:rsidRDefault="00FE3EC2" w:rsidP="00503FEA">
      <w:pPr>
        <w:ind w:right="567"/>
        <w:jc w:val="both"/>
        <w:rPr>
          <w:rFonts w:ascii="Cambria" w:hAnsi="Cambria"/>
          <w:sz w:val="22"/>
          <w:szCs w:val="22"/>
        </w:rPr>
      </w:pPr>
      <w:r>
        <w:rPr>
          <w:rFonts w:ascii="Cambria" w:hAnsi="Cambria"/>
          <w:sz w:val="22"/>
          <w:szCs w:val="22"/>
        </w:rPr>
        <w:t xml:space="preserve"> </w:t>
      </w:r>
    </w:p>
    <w:p w14:paraId="14CE8074" w14:textId="2BA966B9" w:rsidR="00B21F67" w:rsidRDefault="00B21F67" w:rsidP="00503FEA">
      <w:pPr>
        <w:ind w:right="567"/>
        <w:jc w:val="both"/>
        <w:rPr>
          <w:rFonts w:ascii="Cambria" w:hAnsi="Cambria"/>
          <w:sz w:val="22"/>
          <w:szCs w:val="22"/>
        </w:rPr>
      </w:pPr>
    </w:p>
    <w:p w14:paraId="1CD68E77" w14:textId="6E243B1A" w:rsidR="00C77556" w:rsidRDefault="00C77556" w:rsidP="00503FEA">
      <w:pPr>
        <w:ind w:right="567"/>
        <w:jc w:val="both"/>
        <w:rPr>
          <w:rFonts w:ascii="Cambria" w:hAnsi="Cambria"/>
          <w:sz w:val="22"/>
          <w:szCs w:val="22"/>
        </w:rPr>
      </w:pPr>
    </w:p>
    <w:p w14:paraId="7EFC4668" w14:textId="4F6F02FB" w:rsidR="00C77556" w:rsidRDefault="00C77556" w:rsidP="00503FEA">
      <w:pPr>
        <w:ind w:right="567"/>
        <w:jc w:val="both"/>
        <w:rPr>
          <w:rFonts w:ascii="Cambria" w:hAnsi="Cambria"/>
          <w:sz w:val="22"/>
          <w:szCs w:val="22"/>
        </w:rPr>
      </w:pPr>
      <w:r>
        <w:rPr>
          <w:rFonts w:ascii="Cambria" w:hAnsi="Cambria"/>
          <w:sz w:val="22"/>
          <w:szCs w:val="22"/>
        </w:rPr>
        <w:t xml:space="preserve">Bilder (alle </w:t>
      </w:r>
      <w:r w:rsidR="000A7C89">
        <w:rPr>
          <w:rFonts w:ascii="Cambria" w:hAnsi="Cambria"/>
          <w:sz w:val="22"/>
          <w:szCs w:val="22"/>
        </w:rPr>
        <w:t>CAMP</w:t>
      </w:r>
      <w:r>
        <w:rPr>
          <w:rFonts w:ascii="Cambria" w:hAnsi="Cambria"/>
          <w:sz w:val="22"/>
          <w:szCs w:val="22"/>
        </w:rPr>
        <w:t xml:space="preserve"> </w:t>
      </w:r>
      <w:r w:rsidR="0075076C">
        <w:rPr>
          <w:rFonts w:ascii="Cambria" w:hAnsi="Cambria"/>
          <w:sz w:val="22"/>
          <w:szCs w:val="22"/>
        </w:rPr>
        <w:t>Work</w:t>
      </w:r>
      <w:r>
        <w:rPr>
          <w:rFonts w:ascii="Cambria" w:hAnsi="Cambria"/>
          <w:sz w:val="22"/>
          <w:szCs w:val="22"/>
        </w:rPr>
        <w:t>):</w:t>
      </w:r>
    </w:p>
    <w:p w14:paraId="6423E17E" w14:textId="6DB9F3CA" w:rsidR="00C77556" w:rsidRDefault="00C77556" w:rsidP="00503FEA">
      <w:pPr>
        <w:ind w:right="567"/>
        <w:jc w:val="both"/>
        <w:rPr>
          <w:rFonts w:ascii="Cambria" w:hAnsi="Cambria"/>
          <w:sz w:val="22"/>
          <w:szCs w:val="22"/>
        </w:rPr>
      </w:pPr>
    </w:p>
    <w:tbl>
      <w:tblPr>
        <w:tblStyle w:val="Tabellenraster"/>
        <w:tblW w:w="0" w:type="auto"/>
        <w:tblLook w:val="04A0" w:firstRow="1" w:lastRow="0" w:firstColumn="1" w:lastColumn="0" w:noHBand="0" w:noVBand="1"/>
      </w:tblPr>
      <w:tblGrid>
        <w:gridCol w:w="3397"/>
        <w:gridCol w:w="5524"/>
      </w:tblGrid>
      <w:tr w:rsidR="008F0EF4" w14:paraId="2258E6DD" w14:textId="77777777" w:rsidTr="000A7C89">
        <w:tc>
          <w:tcPr>
            <w:tcW w:w="3397" w:type="dxa"/>
          </w:tcPr>
          <w:p w14:paraId="49EF395E" w14:textId="39E6FCC1" w:rsidR="00C77556" w:rsidRDefault="00B53B17" w:rsidP="00503FEA">
            <w:pPr>
              <w:ind w:right="567"/>
              <w:jc w:val="both"/>
              <w:rPr>
                <w:rFonts w:ascii="Cambria" w:hAnsi="Cambria"/>
                <w:sz w:val="22"/>
                <w:szCs w:val="22"/>
              </w:rPr>
            </w:pPr>
            <w:r>
              <w:rPr>
                <w:rFonts w:ascii="Cambria" w:hAnsi="Cambria"/>
                <w:noProof/>
                <w:sz w:val="22"/>
                <w:szCs w:val="22"/>
              </w:rPr>
              <w:drawing>
                <wp:inline distT="0" distB="0" distL="0" distR="0" wp14:anchorId="6D7B4D28" wp14:editId="4772AD96">
                  <wp:extent cx="576913" cy="1134533"/>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a:extLst>
                              <a:ext uri="{28A0092B-C50C-407E-A947-70E740481C1C}">
                                <a14:useLocalDpi xmlns:a14="http://schemas.microsoft.com/office/drawing/2010/main" val="0"/>
                              </a:ext>
                            </a:extLst>
                          </a:blip>
                          <a:stretch>
                            <a:fillRect/>
                          </a:stretch>
                        </pic:blipFill>
                        <pic:spPr>
                          <a:xfrm>
                            <a:off x="0" y="0"/>
                            <a:ext cx="599728" cy="1179400"/>
                          </a:xfrm>
                          <a:prstGeom prst="rect">
                            <a:avLst/>
                          </a:prstGeom>
                        </pic:spPr>
                      </pic:pic>
                    </a:graphicData>
                  </a:graphic>
                </wp:inline>
              </w:drawing>
            </w:r>
          </w:p>
        </w:tc>
        <w:tc>
          <w:tcPr>
            <w:tcW w:w="5524" w:type="dxa"/>
          </w:tcPr>
          <w:p w14:paraId="731CE6BC" w14:textId="7E0FBF40" w:rsidR="000A7C89" w:rsidRPr="000A7C89" w:rsidRDefault="00BD0BD8" w:rsidP="000A7C89">
            <w:pPr>
              <w:rPr>
                <w:rFonts w:ascii="Cambria" w:hAnsi="Cambria"/>
                <w:i/>
                <w:iCs/>
                <w:sz w:val="18"/>
                <w:szCs w:val="18"/>
              </w:rPr>
            </w:pPr>
            <w:r>
              <w:rPr>
                <w:rFonts w:ascii="Cambria" w:hAnsi="Cambria"/>
                <w:i/>
                <w:iCs/>
                <w:sz w:val="18"/>
                <w:szCs w:val="18"/>
              </w:rPr>
              <w:t>Das neue Wirbelelement „Enigma“ erlaubt eine enorme Bewegungs- und Ausrichtungsfreiheit</w:t>
            </w:r>
            <w:r w:rsidR="000A7C89" w:rsidRPr="000A7C89">
              <w:rPr>
                <w:rFonts w:ascii="Cambria" w:hAnsi="Cambria"/>
                <w:i/>
                <w:iCs/>
                <w:sz w:val="18"/>
                <w:szCs w:val="18"/>
              </w:rPr>
              <w:t>.</w:t>
            </w:r>
          </w:p>
          <w:p w14:paraId="15A3F845" w14:textId="36CCB51B" w:rsidR="00C77556" w:rsidRPr="00C77556" w:rsidRDefault="00C77556" w:rsidP="000A7C89">
            <w:pPr>
              <w:rPr>
                <w:rFonts w:ascii="Cambria" w:hAnsi="Cambria"/>
                <w:sz w:val="22"/>
                <w:szCs w:val="22"/>
              </w:rPr>
            </w:pPr>
          </w:p>
          <w:p w14:paraId="7978977F" w14:textId="4E783546" w:rsidR="00C77556" w:rsidRDefault="00C77556" w:rsidP="000A7C89">
            <w:pPr>
              <w:ind w:right="567"/>
              <w:rPr>
                <w:rFonts w:ascii="Cambria" w:hAnsi="Cambria"/>
                <w:sz w:val="22"/>
                <w:szCs w:val="22"/>
              </w:rPr>
            </w:pPr>
          </w:p>
        </w:tc>
      </w:tr>
      <w:tr w:rsidR="008F0EF4" w14:paraId="5FCA319C" w14:textId="77777777" w:rsidTr="000A7C89">
        <w:tc>
          <w:tcPr>
            <w:tcW w:w="3397" w:type="dxa"/>
          </w:tcPr>
          <w:p w14:paraId="479D6C59" w14:textId="572CAA41" w:rsidR="00C77556"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678C7732" wp14:editId="6E1BBD1B">
                  <wp:extent cx="1549400" cy="913402"/>
                  <wp:effectExtent l="0" t="0" r="0" b="127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a:extLst>
                              <a:ext uri="{28A0092B-C50C-407E-A947-70E740481C1C}">
                                <a14:useLocalDpi xmlns:a14="http://schemas.microsoft.com/office/drawing/2010/main" val="0"/>
                              </a:ext>
                            </a:extLst>
                          </a:blip>
                          <a:stretch>
                            <a:fillRect/>
                          </a:stretch>
                        </pic:blipFill>
                        <pic:spPr>
                          <a:xfrm>
                            <a:off x="0" y="0"/>
                            <a:ext cx="1589830" cy="937236"/>
                          </a:xfrm>
                          <a:prstGeom prst="rect">
                            <a:avLst/>
                          </a:prstGeom>
                        </pic:spPr>
                      </pic:pic>
                    </a:graphicData>
                  </a:graphic>
                </wp:inline>
              </w:drawing>
            </w:r>
          </w:p>
        </w:tc>
        <w:tc>
          <w:tcPr>
            <w:tcW w:w="5524" w:type="dxa"/>
          </w:tcPr>
          <w:p w14:paraId="7D5277C8" w14:textId="37491225" w:rsidR="00C77556" w:rsidRDefault="008F0EF4" w:rsidP="000A7C89">
            <w:pPr>
              <w:rPr>
                <w:rFonts w:ascii="Cambria" w:hAnsi="Cambria"/>
                <w:sz w:val="22"/>
                <w:szCs w:val="22"/>
              </w:rPr>
            </w:pPr>
            <w:r>
              <w:rPr>
                <w:rFonts w:ascii="Cambria" w:hAnsi="Cambria"/>
                <w:i/>
                <w:iCs/>
                <w:sz w:val="18"/>
                <w:szCs w:val="18"/>
              </w:rPr>
              <w:t>„Enigma“ mit seinen großen schwingbaren Ringen lässt sich komplett öffnen.</w:t>
            </w:r>
          </w:p>
        </w:tc>
      </w:tr>
      <w:tr w:rsidR="008F0EF4" w14:paraId="474D22B4" w14:textId="77777777" w:rsidTr="000A7C89">
        <w:tc>
          <w:tcPr>
            <w:tcW w:w="3397" w:type="dxa"/>
          </w:tcPr>
          <w:p w14:paraId="6ADE148C" w14:textId="66322A0C" w:rsidR="00C77556"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2D83F1B7" wp14:editId="2C4E514F">
                  <wp:extent cx="1176866" cy="1170063"/>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a:extLst>
                              <a:ext uri="{28A0092B-C50C-407E-A947-70E740481C1C}">
                                <a14:useLocalDpi xmlns:a14="http://schemas.microsoft.com/office/drawing/2010/main" val="0"/>
                              </a:ext>
                            </a:extLst>
                          </a:blip>
                          <a:stretch>
                            <a:fillRect/>
                          </a:stretch>
                        </pic:blipFill>
                        <pic:spPr>
                          <a:xfrm>
                            <a:off x="0" y="0"/>
                            <a:ext cx="1211031" cy="1204030"/>
                          </a:xfrm>
                          <a:prstGeom prst="rect">
                            <a:avLst/>
                          </a:prstGeom>
                        </pic:spPr>
                      </pic:pic>
                    </a:graphicData>
                  </a:graphic>
                </wp:inline>
              </w:drawing>
            </w:r>
          </w:p>
        </w:tc>
        <w:tc>
          <w:tcPr>
            <w:tcW w:w="5524" w:type="dxa"/>
          </w:tcPr>
          <w:p w14:paraId="64C727C2" w14:textId="6822B556" w:rsidR="00C77556" w:rsidRDefault="008F0EF4" w:rsidP="000A7C89">
            <w:pPr>
              <w:rPr>
                <w:rFonts w:ascii="Cambria" w:hAnsi="Cambria"/>
                <w:sz w:val="22"/>
                <w:szCs w:val="22"/>
              </w:rPr>
            </w:pPr>
            <w:r>
              <w:rPr>
                <w:rFonts w:ascii="Cambria" w:hAnsi="Cambria"/>
                <w:i/>
                <w:iCs/>
                <w:sz w:val="18"/>
                <w:szCs w:val="18"/>
              </w:rPr>
              <w:t>Die großen schwingbaren Ringe bei „Enigma“ erlauben die direkte Verbindung von Metall- und Textilteilen ohne zusätzliche Karabiner.</w:t>
            </w:r>
          </w:p>
        </w:tc>
      </w:tr>
      <w:tr w:rsidR="008F0EF4" w14:paraId="6DF89713" w14:textId="77777777" w:rsidTr="000A7C89">
        <w:tc>
          <w:tcPr>
            <w:tcW w:w="3397" w:type="dxa"/>
          </w:tcPr>
          <w:p w14:paraId="75393C70" w14:textId="08519C2B" w:rsidR="00C77556"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3DE0D452" wp14:editId="391BC443">
                  <wp:extent cx="931333" cy="1265345"/>
                  <wp:effectExtent l="0" t="0" r="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1">
                            <a:extLst>
                              <a:ext uri="{28A0092B-C50C-407E-A947-70E740481C1C}">
                                <a14:useLocalDpi xmlns:a14="http://schemas.microsoft.com/office/drawing/2010/main" val="0"/>
                              </a:ext>
                            </a:extLst>
                          </a:blip>
                          <a:stretch>
                            <a:fillRect/>
                          </a:stretch>
                        </pic:blipFill>
                        <pic:spPr>
                          <a:xfrm>
                            <a:off x="0" y="0"/>
                            <a:ext cx="972538" cy="1321327"/>
                          </a:xfrm>
                          <a:prstGeom prst="rect">
                            <a:avLst/>
                          </a:prstGeom>
                        </pic:spPr>
                      </pic:pic>
                    </a:graphicData>
                  </a:graphic>
                </wp:inline>
              </w:drawing>
            </w:r>
          </w:p>
        </w:tc>
        <w:tc>
          <w:tcPr>
            <w:tcW w:w="5524" w:type="dxa"/>
          </w:tcPr>
          <w:p w14:paraId="45AE57C4" w14:textId="16939DC7" w:rsidR="000A7C89" w:rsidRPr="000A7C89" w:rsidRDefault="00BD0BD8" w:rsidP="000A7C89">
            <w:pPr>
              <w:rPr>
                <w:rFonts w:ascii="Cambria" w:hAnsi="Cambria"/>
                <w:i/>
                <w:iCs/>
                <w:sz w:val="18"/>
                <w:szCs w:val="18"/>
              </w:rPr>
            </w:pPr>
            <w:r>
              <w:rPr>
                <w:rFonts w:ascii="Cambria" w:hAnsi="Cambria"/>
                <w:i/>
                <w:iCs/>
                <w:sz w:val="18"/>
                <w:szCs w:val="18"/>
              </w:rPr>
              <w:t>Kompaktheit, Funktionalität und Strapazierfähigkeit vereint die neue Seilrolle mit Rücklaufsperre „Turbolock“.</w:t>
            </w:r>
          </w:p>
          <w:p w14:paraId="2FD087DB" w14:textId="77777777" w:rsidR="00C77556" w:rsidRDefault="00C77556" w:rsidP="000A7C89">
            <w:pPr>
              <w:ind w:right="567"/>
              <w:rPr>
                <w:rFonts w:ascii="Cambria" w:hAnsi="Cambria"/>
                <w:sz w:val="22"/>
                <w:szCs w:val="22"/>
              </w:rPr>
            </w:pPr>
          </w:p>
        </w:tc>
      </w:tr>
      <w:tr w:rsidR="008F0EF4" w14:paraId="7240670A" w14:textId="77777777" w:rsidTr="003D0D6E">
        <w:tc>
          <w:tcPr>
            <w:tcW w:w="3397" w:type="dxa"/>
          </w:tcPr>
          <w:p w14:paraId="07DC0F66" w14:textId="5AC580FD" w:rsidR="003D0D6E"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65F25BCD" wp14:editId="5F74737E">
                  <wp:extent cx="618066" cy="1147340"/>
                  <wp:effectExtent l="0" t="0" r="444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2">
                            <a:extLst>
                              <a:ext uri="{28A0092B-C50C-407E-A947-70E740481C1C}">
                                <a14:useLocalDpi xmlns:a14="http://schemas.microsoft.com/office/drawing/2010/main" val="0"/>
                              </a:ext>
                            </a:extLst>
                          </a:blip>
                          <a:stretch>
                            <a:fillRect/>
                          </a:stretch>
                        </pic:blipFill>
                        <pic:spPr>
                          <a:xfrm>
                            <a:off x="0" y="0"/>
                            <a:ext cx="651269" cy="1208975"/>
                          </a:xfrm>
                          <a:prstGeom prst="rect">
                            <a:avLst/>
                          </a:prstGeom>
                        </pic:spPr>
                      </pic:pic>
                    </a:graphicData>
                  </a:graphic>
                </wp:inline>
              </w:drawing>
            </w:r>
          </w:p>
        </w:tc>
        <w:tc>
          <w:tcPr>
            <w:tcW w:w="5524" w:type="dxa"/>
          </w:tcPr>
          <w:p w14:paraId="20478184" w14:textId="2D5D8424" w:rsidR="003D0D6E" w:rsidRDefault="00BD0BD8" w:rsidP="00503FEA">
            <w:pPr>
              <w:ind w:right="567"/>
              <w:jc w:val="both"/>
              <w:rPr>
                <w:rFonts w:ascii="Cambria" w:hAnsi="Cambria"/>
                <w:sz w:val="22"/>
                <w:szCs w:val="22"/>
              </w:rPr>
            </w:pPr>
            <w:r>
              <w:rPr>
                <w:rFonts w:ascii="Cambria" w:hAnsi="Cambria"/>
                <w:i/>
                <w:iCs/>
                <w:sz w:val="18"/>
                <w:szCs w:val="18"/>
              </w:rPr>
              <w:t xml:space="preserve">„Turbolock“ ermöglicht die Installation des Seils, auch wenn </w:t>
            </w:r>
            <w:r w:rsidR="001D0B47">
              <w:rPr>
                <w:rFonts w:ascii="Cambria" w:hAnsi="Cambria"/>
                <w:i/>
                <w:iCs/>
                <w:sz w:val="18"/>
                <w:szCs w:val="18"/>
              </w:rPr>
              <w:t>die Rolle mit dem Anschlagpunkt verbunden ist.</w:t>
            </w:r>
          </w:p>
        </w:tc>
      </w:tr>
      <w:tr w:rsidR="008F0EF4" w14:paraId="6452DD28" w14:textId="77777777" w:rsidTr="003D0D6E">
        <w:tc>
          <w:tcPr>
            <w:tcW w:w="3397" w:type="dxa"/>
          </w:tcPr>
          <w:p w14:paraId="2BBDCC6A" w14:textId="636F3675" w:rsidR="003D0D6E"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3C890451" wp14:editId="6307BBA5">
                  <wp:extent cx="617855" cy="1162720"/>
                  <wp:effectExtent l="0" t="0" r="4445" b="571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3">
                            <a:extLst>
                              <a:ext uri="{28A0092B-C50C-407E-A947-70E740481C1C}">
                                <a14:useLocalDpi xmlns:a14="http://schemas.microsoft.com/office/drawing/2010/main" val="0"/>
                              </a:ext>
                            </a:extLst>
                          </a:blip>
                          <a:stretch>
                            <a:fillRect/>
                          </a:stretch>
                        </pic:blipFill>
                        <pic:spPr>
                          <a:xfrm>
                            <a:off x="0" y="0"/>
                            <a:ext cx="637329" cy="1199368"/>
                          </a:xfrm>
                          <a:prstGeom prst="rect">
                            <a:avLst/>
                          </a:prstGeom>
                        </pic:spPr>
                      </pic:pic>
                    </a:graphicData>
                  </a:graphic>
                </wp:inline>
              </w:drawing>
            </w:r>
          </w:p>
        </w:tc>
        <w:tc>
          <w:tcPr>
            <w:tcW w:w="5524" w:type="dxa"/>
          </w:tcPr>
          <w:p w14:paraId="2B57D9FF" w14:textId="6277E31C" w:rsidR="003D0D6E" w:rsidRDefault="00BD0BD8" w:rsidP="00503FEA">
            <w:pPr>
              <w:ind w:right="567"/>
              <w:jc w:val="both"/>
              <w:rPr>
                <w:rFonts w:ascii="Cambria" w:hAnsi="Cambria"/>
                <w:sz w:val="22"/>
                <w:szCs w:val="22"/>
              </w:rPr>
            </w:pPr>
            <w:r w:rsidRPr="00BD0BD8">
              <w:rPr>
                <w:rFonts w:ascii="Cambria" w:hAnsi="Cambria"/>
                <w:i/>
                <w:iCs/>
                <w:sz w:val="18"/>
                <w:szCs w:val="18"/>
              </w:rPr>
              <w:t>„Turbolock“ ist für eine einfach einhändige Bedienung konzipiert.</w:t>
            </w:r>
          </w:p>
        </w:tc>
      </w:tr>
      <w:tr w:rsidR="008F0EF4" w14:paraId="7C8A4079" w14:textId="77777777" w:rsidTr="003D0D6E">
        <w:tc>
          <w:tcPr>
            <w:tcW w:w="3397" w:type="dxa"/>
          </w:tcPr>
          <w:p w14:paraId="59FB3959" w14:textId="6FCFB8D4" w:rsidR="003D0D6E" w:rsidRDefault="003D0D6E" w:rsidP="00503FEA">
            <w:pPr>
              <w:ind w:right="567"/>
              <w:jc w:val="both"/>
              <w:rPr>
                <w:rFonts w:ascii="Cambria" w:hAnsi="Cambria"/>
                <w:sz w:val="22"/>
                <w:szCs w:val="22"/>
              </w:rPr>
            </w:pPr>
            <w:r>
              <w:rPr>
                <w:rFonts w:ascii="Cambria" w:hAnsi="Cambria"/>
                <w:noProof/>
                <w:sz w:val="22"/>
                <w:szCs w:val="22"/>
              </w:rPr>
              <w:lastRenderedPageBreak/>
              <w:drawing>
                <wp:inline distT="0" distB="0" distL="0" distR="0" wp14:anchorId="0EF29E58" wp14:editId="0CB15D3B">
                  <wp:extent cx="956733" cy="123264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4">
                            <a:extLst>
                              <a:ext uri="{28A0092B-C50C-407E-A947-70E740481C1C}">
                                <a14:useLocalDpi xmlns:a14="http://schemas.microsoft.com/office/drawing/2010/main" val="0"/>
                              </a:ext>
                            </a:extLst>
                          </a:blip>
                          <a:stretch>
                            <a:fillRect/>
                          </a:stretch>
                        </pic:blipFill>
                        <pic:spPr>
                          <a:xfrm>
                            <a:off x="0" y="0"/>
                            <a:ext cx="977268" cy="1259102"/>
                          </a:xfrm>
                          <a:prstGeom prst="rect">
                            <a:avLst/>
                          </a:prstGeom>
                        </pic:spPr>
                      </pic:pic>
                    </a:graphicData>
                  </a:graphic>
                </wp:inline>
              </w:drawing>
            </w:r>
          </w:p>
        </w:tc>
        <w:tc>
          <w:tcPr>
            <w:tcW w:w="5524" w:type="dxa"/>
          </w:tcPr>
          <w:p w14:paraId="15D3E1CD" w14:textId="68AFB72E" w:rsidR="003D0D6E" w:rsidRDefault="008F0EF4" w:rsidP="00503FEA">
            <w:pPr>
              <w:ind w:right="567"/>
              <w:jc w:val="both"/>
              <w:rPr>
                <w:rFonts w:ascii="Cambria" w:hAnsi="Cambria"/>
                <w:sz w:val="22"/>
                <w:szCs w:val="22"/>
              </w:rPr>
            </w:pPr>
            <w:r>
              <w:rPr>
                <w:rFonts w:ascii="Cambria" w:hAnsi="Cambria"/>
                <w:i/>
                <w:iCs/>
                <w:sz w:val="18"/>
                <w:szCs w:val="18"/>
              </w:rPr>
              <w:t>Der neue „</w:t>
            </w:r>
            <w:proofErr w:type="spellStart"/>
            <w:r>
              <w:rPr>
                <w:rFonts w:ascii="Cambria" w:hAnsi="Cambria"/>
                <w:i/>
                <w:iCs/>
                <w:sz w:val="18"/>
                <w:szCs w:val="18"/>
              </w:rPr>
              <w:t>Gyro</w:t>
            </w:r>
            <w:proofErr w:type="spellEnd"/>
            <w:r>
              <w:rPr>
                <w:rFonts w:ascii="Cambria" w:hAnsi="Cambria"/>
                <w:i/>
                <w:iCs/>
                <w:sz w:val="18"/>
                <w:szCs w:val="18"/>
              </w:rPr>
              <w:t xml:space="preserve"> 1“ verkörpert die Essenz einer Drehvorrichtung.</w:t>
            </w:r>
          </w:p>
        </w:tc>
      </w:tr>
      <w:tr w:rsidR="008F0EF4" w14:paraId="64C14003" w14:textId="77777777" w:rsidTr="003D0D6E">
        <w:tc>
          <w:tcPr>
            <w:tcW w:w="3397" w:type="dxa"/>
          </w:tcPr>
          <w:p w14:paraId="5ED85B57" w14:textId="5AC64AE0" w:rsidR="003D0D6E" w:rsidRDefault="008F0EF4" w:rsidP="00503FEA">
            <w:pPr>
              <w:ind w:right="567"/>
              <w:jc w:val="both"/>
              <w:rPr>
                <w:rFonts w:ascii="Cambria" w:hAnsi="Cambria"/>
                <w:sz w:val="22"/>
                <w:szCs w:val="22"/>
              </w:rPr>
            </w:pPr>
            <w:r>
              <w:rPr>
                <w:rFonts w:ascii="Cambria" w:hAnsi="Cambria"/>
                <w:noProof/>
                <w:sz w:val="22"/>
                <w:szCs w:val="22"/>
              </w:rPr>
              <w:drawing>
                <wp:inline distT="0" distB="0" distL="0" distR="0" wp14:anchorId="04334CEB" wp14:editId="2BC33D6D">
                  <wp:extent cx="1168400" cy="103365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15">
                            <a:extLst>
                              <a:ext uri="{28A0092B-C50C-407E-A947-70E740481C1C}">
                                <a14:useLocalDpi xmlns:a14="http://schemas.microsoft.com/office/drawing/2010/main" val="0"/>
                              </a:ext>
                            </a:extLst>
                          </a:blip>
                          <a:stretch>
                            <a:fillRect/>
                          </a:stretch>
                        </pic:blipFill>
                        <pic:spPr>
                          <a:xfrm>
                            <a:off x="0" y="0"/>
                            <a:ext cx="1208605" cy="1069218"/>
                          </a:xfrm>
                          <a:prstGeom prst="rect">
                            <a:avLst/>
                          </a:prstGeom>
                        </pic:spPr>
                      </pic:pic>
                    </a:graphicData>
                  </a:graphic>
                </wp:inline>
              </w:drawing>
            </w:r>
          </w:p>
        </w:tc>
        <w:tc>
          <w:tcPr>
            <w:tcW w:w="5524" w:type="dxa"/>
          </w:tcPr>
          <w:p w14:paraId="2D34FC56" w14:textId="578DA9BF" w:rsidR="003D0D6E" w:rsidRDefault="008F0EF4" w:rsidP="00503FEA">
            <w:pPr>
              <w:ind w:right="567"/>
              <w:jc w:val="both"/>
              <w:rPr>
                <w:rFonts w:ascii="Cambria" w:hAnsi="Cambria"/>
                <w:sz w:val="22"/>
                <w:szCs w:val="22"/>
              </w:rPr>
            </w:pPr>
            <w:r>
              <w:rPr>
                <w:rFonts w:ascii="Cambria" w:hAnsi="Cambria"/>
                <w:i/>
                <w:iCs/>
                <w:sz w:val="18"/>
                <w:szCs w:val="18"/>
              </w:rPr>
              <w:t>Maximale Bewegungsfreiheit bei minimaler Größe bietet der „</w:t>
            </w:r>
            <w:proofErr w:type="spellStart"/>
            <w:r>
              <w:rPr>
                <w:rFonts w:ascii="Cambria" w:hAnsi="Cambria"/>
                <w:i/>
                <w:iCs/>
                <w:sz w:val="18"/>
                <w:szCs w:val="18"/>
              </w:rPr>
              <w:t>Gyro</w:t>
            </w:r>
            <w:proofErr w:type="spellEnd"/>
            <w:r>
              <w:rPr>
                <w:rFonts w:ascii="Cambria" w:hAnsi="Cambria"/>
                <w:i/>
                <w:iCs/>
                <w:sz w:val="18"/>
                <w:szCs w:val="18"/>
              </w:rPr>
              <w:t xml:space="preserve"> 1“.</w:t>
            </w:r>
          </w:p>
        </w:tc>
      </w:tr>
      <w:tr w:rsidR="008F0EF4" w14:paraId="78492879" w14:textId="77777777" w:rsidTr="003D0D6E">
        <w:tc>
          <w:tcPr>
            <w:tcW w:w="3397" w:type="dxa"/>
          </w:tcPr>
          <w:p w14:paraId="64C1ABF2" w14:textId="0CCE7F0D" w:rsidR="003D0D6E" w:rsidRDefault="003D0D6E" w:rsidP="00503FEA">
            <w:pPr>
              <w:ind w:right="567"/>
              <w:jc w:val="both"/>
              <w:rPr>
                <w:rFonts w:ascii="Cambria" w:hAnsi="Cambria"/>
                <w:sz w:val="22"/>
                <w:szCs w:val="22"/>
              </w:rPr>
            </w:pPr>
            <w:r>
              <w:rPr>
                <w:rFonts w:ascii="Cambria" w:hAnsi="Cambria"/>
                <w:noProof/>
                <w:sz w:val="22"/>
                <w:szCs w:val="22"/>
              </w:rPr>
              <w:drawing>
                <wp:inline distT="0" distB="0" distL="0" distR="0" wp14:anchorId="68ECBF4E" wp14:editId="699CDBBC">
                  <wp:extent cx="1506855" cy="978385"/>
                  <wp:effectExtent l="0" t="0" r="444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6">
                            <a:extLst>
                              <a:ext uri="{28A0092B-C50C-407E-A947-70E740481C1C}">
                                <a14:useLocalDpi xmlns:a14="http://schemas.microsoft.com/office/drawing/2010/main" val="0"/>
                              </a:ext>
                            </a:extLst>
                          </a:blip>
                          <a:stretch>
                            <a:fillRect/>
                          </a:stretch>
                        </pic:blipFill>
                        <pic:spPr>
                          <a:xfrm>
                            <a:off x="0" y="0"/>
                            <a:ext cx="1559804" cy="1012764"/>
                          </a:xfrm>
                          <a:prstGeom prst="rect">
                            <a:avLst/>
                          </a:prstGeom>
                        </pic:spPr>
                      </pic:pic>
                    </a:graphicData>
                  </a:graphic>
                </wp:inline>
              </w:drawing>
            </w:r>
          </w:p>
        </w:tc>
        <w:tc>
          <w:tcPr>
            <w:tcW w:w="5524" w:type="dxa"/>
          </w:tcPr>
          <w:p w14:paraId="74EE6297" w14:textId="1F597B70" w:rsidR="003D0D6E" w:rsidRDefault="008F0EF4" w:rsidP="00503FEA">
            <w:pPr>
              <w:ind w:right="567"/>
              <w:jc w:val="both"/>
              <w:rPr>
                <w:rFonts w:ascii="Cambria" w:hAnsi="Cambria"/>
                <w:sz w:val="22"/>
                <w:szCs w:val="22"/>
              </w:rPr>
            </w:pPr>
            <w:r>
              <w:rPr>
                <w:rFonts w:ascii="Cambria" w:hAnsi="Cambria"/>
                <w:i/>
                <w:iCs/>
                <w:sz w:val="18"/>
                <w:szCs w:val="18"/>
              </w:rPr>
              <w:t>Der „</w:t>
            </w:r>
            <w:proofErr w:type="spellStart"/>
            <w:r>
              <w:rPr>
                <w:rFonts w:ascii="Cambria" w:hAnsi="Cambria"/>
                <w:i/>
                <w:iCs/>
                <w:sz w:val="18"/>
                <w:szCs w:val="18"/>
              </w:rPr>
              <w:t>Gyro</w:t>
            </w:r>
            <w:proofErr w:type="spellEnd"/>
            <w:r>
              <w:rPr>
                <w:rFonts w:ascii="Cambria" w:hAnsi="Cambria"/>
                <w:i/>
                <w:iCs/>
                <w:sz w:val="18"/>
                <w:szCs w:val="18"/>
              </w:rPr>
              <w:t xml:space="preserve"> 1“ wird mit zwei Silikon-Fixierungsgummiringen ausgeliefert, die Nutzer nach Belieben einsetzen können.</w:t>
            </w:r>
          </w:p>
        </w:tc>
      </w:tr>
    </w:tbl>
    <w:p w14:paraId="11CA8EB0" w14:textId="17B7DB6D" w:rsidR="00C77556" w:rsidRDefault="00C77556" w:rsidP="00503FEA">
      <w:pPr>
        <w:ind w:right="567"/>
        <w:jc w:val="both"/>
        <w:rPr>
          <w:rFonts w:ascii="Cambria" w:hAnsi="Cambria"/>
          <w:sz w:val="22"/>
          <w:szCs w:val="22"/>
        </w:rPr>
      </w:pPr>
    </w:p>
    <w:tbl>
      <w:tblPr>
        <w:tblStyle w:val="Tabellenraster"/>
        <w:tblW w:w="0" w:type="auto"/>
        <w:tblLook w:val="04A0" w:firstRow="1" w:lastRow="0" w:firstColumn="1" w:lastColumn="0" w:noHBand="0" w:noVBand="1"/>
      </w:tblPr>
      <w:tblGrid>
        <w:gridCol w:w="3409"/>
        <w:gridCol w:w="5512"/>
      </w:tblGrid>
      <w:tr w:rsidR="008C4C2C" w14:paraId="52E1A4A1" w14:textId="77777777" w:rsidTr="008C4C2C">
        <w:tc>
          <w:tcPr>
            <w:tcW w:w="3397" w:type="dxa"/>
          </w:tcPr>
          <w:p w14:paraId="5883FE9D" w14:textId="2ABED10B" w:rsidR="008C4C2C" w:rsidRDefault="008C4C2C" w:rsidP="00503FEA">
            <w:pPr>
              <w:ind w:right="567"/>
              <w:jc w:val="both"/>
              <w:rPr>
                <w:rFonts w:ascii="Cambria" w:hAnsi="Cambria" w:cs="Arial Hebrew Scholar"/>
                <w:sz w:val="22"/>
                <w:szCs w:val="22"/>
              </w:rPr>
            </w:pPr>
            <w:r>
              <w:rPr>
                <w:rFonts w:ascii="Cambria" w:hAnsi="Cambria" w:cs="Arial Hebrew Scholar"/>
                <w:noProof/>
                <w:sz w:val="22"/>
                <w:szCs w:val="22"/>
              </w:rPr>
              <w:drawing>
                <wp:inline distT="0" distB="0" distL="0" distR="0" wp14:anchorId="75664C3D" wp14:editId="0C32A4A3">
                  <wp:extent cx="1667933" cy="1667933"/>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7">
                            <a:extLst>
                              <a:ext uri="{28A0092B-C50C-407E-A947-70E740481C1C}">
                                <a14:useLocalDpi xmlns:a14="http://schemas.microsoft.com/office/drawing/2010/main" val="0"/>
                              </a:ext>
                            </a:extLst>
                          </a:blip>
                          <a:stretch>
                            <a:fillRect/>
                          </a:stretch>
                        </pic:blipFill>
                        <pic:spPr>
                          <a:xfrm>
                            <a:off x="0" y="0"/>
                            <a:ext cx="1681666" cy="1681666"/>
                          </a:xfrm>
                          <a:prstGeom prst="rect">
                            <a:avLst/>
                          </a:prstGeom>
                        </pic:spPr>
                      </pic:pic>
                    </a:graphicData>
                  </a:graphic>
                </wp:inline>
              </w:drawing>
            </w:r>
          </w:p>
        </w:tc>
        <w:tc>
          <w:tcPr>
            <w:tcW w:w="5524" w:type="dxa"/>
          </w:tcPr>
          <w:p w14:paraId="5ACBAE11" w14:textId="056036A3" w:rsidR="008C4C2C" w:rsidRDefault="008C4C2C" w:rsidP="00503FEA">
            <w:pPr>
              <w:ind w:right="567"/>
              <w:jc w:val="both"/>
              <w:rPr>
                <w:rFonts w:ascii="Cambria" w:hAnsi="Cambria" w:cs="Arial Hebrew Scholar"/>
                <w:sz w:val="22"/>
                <w:szCs w:val="22"/>
              </w:rPr>
            </w:pPr>
            <w:r>
              <w:rPr>
                <w:rFonts w:ascii="Cambria" w:hAnsi="Cambria"/>
                <w:i/>
                <w:iCs/>
                <w:sz w:val="18"/>
                <w:szCs w:val="18"/>
              </w:rPr>
              <w:t>Der QR-Code führt zu einem Video des „Enigma“</w:t>
            </w:r>
          </w:p>
        </w:tc>
      </w:tr>
    </w:tbl>
    <w:p w14:paraId="2811EC92" w14:textId="77777777" w:rsidR="00C77556" w:rsidRPr="00503FEA" w:rsidRDefault="00C77556" w:rsidP="00503FEA">
      <w:pPr>
        <w:ind w:right="567"/>
        <w:jc w:val="both"/>
        <w:rPr>
          <w:rFonts w:ascii="Cambria" w:hAnsi="Cambria" w:cs="Arial Hebrew Scholar"/>
          <w:sz w:val="22"/>
          <w:szCs w:val="22"/>
        </w:rPr>
      </w:pPr>
    </w:p>
    <w:sectPr w:rsidR="00C77556" w:rsidRPr="00503FEA" w:rsidSect="001B151D">
      <w:headerReference w:type="default" r:id="rId18"/>
      <w:footerReference w:type="default" r:id="rId19"/>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68C361" w14:textId="77777777" w:rsidR="00A27C04" w:rsidRDefault="00A27C04" w:rsidP="001D242C">
      <w:r>
        <w:separator/>
      </w:r>
    </w:p>
  </w:endnote>
  <w:endnote w:type="continuationSeparator" w:id="0">
    <w:p w14:paraId="7DF60513" w14:textId="77777777" w:rsidR="00A27C04" w:rsidRDefault="00A27C04"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Arial Hebrew Scholar">
    <w:panose1 w:val="00000000000000000000"/>
    <w:charset w:val="B1"/>
    <w:family w:val="auto"/>
    <w:pitch w:val="variable"/>
    <w:sig w:usb0="80000843" w:usb1="40000002" w:usb2="00000000" w:usb3="00000000" w:csb0="00000021" w:csb1="00000000"/>
  </w:font>
  <w:font w:name="Gotham Rounded Book">
    <w:panose1 w:val="00000000000000000000"/>
    <w:charset w:val="00"/>
    <w:family w:val="auto"/>
    <w:notTrueType/>
    <w:pitch w:val="variable"/>
    <w:sig w:usb0="A000007F" w:usb1="4000004A" w:usb2="00000000" w:usb3="00000000" w:csb0="0000000B"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Default="001D242C" w:rsidP="001D242C">
    <w:pPr>
      <w:rPr>
        <w:rFonts w:ascii="Calibri" w:hAnsi="Calibri"/>
        <w:b/>
        <w:bCs/>
        <w:color w:val="000000"/>
      </w:rPr>
    </w:pPr>
  </w:p>
  <w:p w14:paraId="54238998" w14:textId="77777777" w:rsidR="001D242C" w:rsidRDefault="001D242C" w:rsidP="001D242C">
    <w:pPr>
      <w:rPr>
        <w:rFonts w:ascii="Calibri" w:hAnsi="Calibri"/>
        <w:b/>
        <w:bCs/>
        <w:color w:val="000000"/>
      </w:rPr>
    </w:pPr>
  </w:p>
  <w:p w14:paraId="274ED0FD" w14:textId="43716005" w:rsidR="001D242C" w:rsidRPr="009D31FF" w:rsidRDefault="00B11D55" w:rsidP="001D242C">
    <w:pPr>
      <w:rPr>
        <w:rFonts w:ascii="Calibri" w:hAnsi="Calibri"/>
        <w:b/>
        <w:bCs/>
        <w:color w:val="4472C4" w:themeColor="accent1"/>
      </w:rPr>
    </w:pPr>
    <w:r>
      <w:rPr>
        <w:rFonts w:ascii="Calibri" w:hAnsi="Calibri"/>
        <w:b/>
        <w:bCs/>
        <w:color w:val="4472C4" w:themeColor="accent1"/>
      </w:rPr>
      <w:t xml:space="preserve">C.A.M.P. </w:t>
    </w:r>
    <w:proofErr w:type="spellStart"/>
    <w:r>
      <w:rPr>
        <w:rFonts w:ascii="Calibri" w:hAnsi="Calibri"/>
        <w:b/>
        <w:bCs/>
        <w:color w:val="4472C4" w:themeColor="accent1"/>
      </w:rPr>
      <w:t>S.p.A</w:t>
    </w:r>
    <w:proofErr w:type="spellEnd"/>
    <w:r>
      <w:rPr>
        <w:rFonts w:ascii="Calibri" w:hAnsi="Calibri"/>
        <w:b/>
        <w:bCs/>
        <w:color w:val="4472C4" w:themeColor="accent1"/>
      </w:rPr>
      <w:t>.</w:t>
    </w:r>
    <w:r>
      <w:rPr>
        <w:rFonts w:ascii="Calibri" w:hAnsi="Calibri"/>
        <w:b/>
        <w:bCs/>
        <w:color w:val="4472C4" w:themeColor="accent1"/>
      </w:rPr>
      <w:tab/>
    </w:r>
    <w:r w:rsidR="00446B70" w:rsidRPr="009D31FF">
      <w:rPr>
        <w:rFonts w:ascii="Calibri" w:hAnsi="Calibri"/>
        <w:b/>
        <w:bCs/>
        <w:color w:val="4472C4" w:themeColor="accent1"/>
      </w:rPr>
      <w:tab/>
    </w:r>
    <w:r w:rsidR="00446B70" w:rsidRPr="009D31FF">
      <w:rPr>
        <w:rFonts w:ascii="Calibri" w:hAnsi="Calibri"/>
        <w:b/>
        <w:bCs/>
        <w:color w:val="4472C4" w:themeColor="accent1"/>
      </w:rPr>
      <w:tab/>
    </w:r>
    <w:r w:rsidR="00446B70" w:rsidRPr="009D31FF">
      <w:rPr>
        <w:rFonts w:ascii="Calibri" w:hAnsi="Calibri"/>
        <w:b/>
        <w:bCs/>
        <w:color w:val="4472C4" w:themeColor="accent1"/>
      </w:rPr>
      <w:tab/>
    </w:r>
    <w:r w:rsidR="007A6738">
      <w:rPr>
        <w:rFonts w:ascii="Calibri" w:hAnsi="Calibri"/>
        <w:b/>
        <w:bCs/>
        <w:color w:val="4472C4" w:themeColor="accent1"/>
      </w:rPr>
      <w:tab/>
    </w:r>
    <w:r w:rsidR="007A6738">
      <w:rPr>
        <w:rFonts w:ascii="Calibri" w:hAnsi="Calibri"/>
        <w:b/>
        <w:bCs/>
        <w:color w:val="4472C4" w:themeColor="accent1"/>
      </w:rPr>
      <w:tab/>
    </w:r>
    <w:proofErr w:type="spellStart"/>
    <w:r w:rsidR="00965ACA" w:rsidRPr="009D31FF">
      <w:rPr>
        <w:rFonts w:ascii="1942 report" w:hAnsi="1942 report"/>
        <w:b/>
        <w:color w:val="4472C4" w:themeColor="accent1"/>
        <w:sz w:val="32"/>
        <w:szCs w:val="32"/>
      </w:rPr>
      <w:t>rbk</w:t>
    </w:r>
    <w:proofErr w:type="spellEnd"/>
    <w:r w:rsidR="00965ACA" w:rsidRPr="009D31FF">
      <w:rPr>
        <w:rFonts w:ascii="Calibri" w:hAnsi="Calibri"/>
        <w:b/>
        <w:bCs/>
        <w:color w:val="4472C4" w:themeColor="accent1"/>
      </w:rPr>
      <w:t xml:space="preserve"> – Redaktionsbüro Kluge</w:t>
    </w:r>
  </w:p>
  <w:p w14:paraId="6F7A3285" w14:textId="65A41545" w:rsidR="00965ACA" w:rsidRPr="007A6738" w:rsidRDefault="007A6738" w:rsidP="001D242C">
    <w:pPr>
      <w:rPr>
        <w:rFonts w:ascii="Calibri" w:hAnsi="Calibri"/>
        <w:color w:val="4472C4" w:themeColor="accent1"/>
        <w:sz w:val="22"/>
        <w:szCs w:val="22"/>
        <w:lang w:val="en-US"/>
      </w:rPr>
    </w:pPr>
    <w:r w:rsidRPr="007A6738">
      <w:rPr>
        <w:rFonts w:ascii="Calibri" w:hAnsi="Calibri"/>
        <w:color w:val="4472C4" w:themeColor="accent1"/>
        <w:sz w:val="22"/>
        <w:szCs w:val="22"/>
        <w:lang w:val="en-US"/>
      </w:rPr>
      <w:t>Germany Country Manager</w:t>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9D31FF"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 xml:space="preserve"> </w:t>
    </w:r>
  </w:p>
  <w:p w14:paraId="4106898B" w14:textId="00AC9D43" w:rsidR="001D242C" w:rsidRPr="007A6738" w:rsidRDefault="007A6738" w:rsidP="001D242C">
    <w:pPr>
      <w:rPr>
        <w:rFonts w:ascii="Calibri" w:hAnsi="Calibri"/>
        <w:color w:val="4472C4" w:themeColor="accent1"/>
        <w:sz w:val="22"/>
        <w:szCs w:val="22"/>
        <w:lang w:val="en-US"/>
      </w:rPr>
    </w:pPr>
    <w:r w:rsidRPr="007A6738">
      <w:rPr>
        <w:rFonts w:ascii="Calibri" w:hAnsi="Calibri"/>
        <w:color w:val="4472C4" w:themeColor="accent1"/>
        <w:sz w:val="22"/>
        <w:szCs w:val="22"/>
        <w:lang w:val="en-US"/>
      </w:rPr>
      <w:t>C</w:t>
    </w:r>
    <w:r>
      <w:rPr>
        <w:rFonts w:ascii="Calibri" w:hAnsi="Calibri"/>
        <w:color w:val="4472C4" w:themeColor="accent1"/>
        <w:sz w:val="22"/>
        <w:szCs w:val="22"/>
        <w:lang w:val="en-US"/>
      </w:rPr>
      <w:t>hristian Bickel</w:t>
    </w:r>
    <w:r>
      <w:rPr>
        <w:rFonts w:ascii="Calibri" w:hAnsi="Calibri"/>
        <w:color w:val="4472C4" w:themeColor="accent1"/>
        <w:sz w:val="22"/>
        <w:szCs w:val="22"/>
        <w:lang w:val="en-US"/>
      </w:rPr>
      <w:tab/>
    </w:r>
    <w:r w:rsidR="009D31FF"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proofErr w:type="spellStart"/>
    <w:r w:rsidRPr="007A6738">
      <w:rPr>
        <w:rFonts w:ascii="Calibri" w:hAnsi="Calibri"/>
        <w:color w:val="4472C4" w:themeColor="accent1"/>
        <w:sz w:val="22"/>
        <w:szCs w:val="22"/>
        <w:lang w:val="en-US"/>
      </w:rPr>
      <w:t>Amselweg</w:t>
    </w:r>
    <w:proofErr w:type="spellEnd"/>
    <w:r w:rsidRPr="007A6738">
      <w:rPr>
        <w:rFonts w:ascii="Calibri" w:hAnsi="Calibri"/>
        <w:color w:val="4472C4" w:themeColor="accent1"/>
        <w:sz w:val="22"/>
        <w:szCs w:val="22"/>
        <w:lang w:val="en-US"/>
      </w:rPr>
      <w:t xml:space="preserve"> 25</w:t>
    </w:r>
  </w:p>
  <w:p w14:paraId="32D77C07" w14:textId="3B84DCF7" w:rsidR="001D242C" w:rsidRPr="00AE4B5E" w:rsidRDefault="007A6738" w:rsidP="001D242C">
    <w:pPr>
      <w:jc w:val="both"/>
      <w:rPr>
        <w:rFonts w:ascii="Calibri" w:hAnsi="Calibri"/>
        <w:color w:val="4472C4" w:themeColor="accent1"/>
        <w:sz w:val="22"/>
        <w:szCs w:val="22"/>
      </w:rPr>
    </w:pPr>
    <w:r w:rsidRPr="00AE4B5E">
      <w:rPr>
        <w:rFonts w:ascii="Calibri" w:hAnsi="Calibri"/>
        <w:color w:val="4472C4" w:themeColor="accent1"/>
        <w:sz w:val="22"/>
        <w:szCs w:val="22"/>
      </w:rPr>
      <w:t>Am Mühlacker 2</w:t>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Pr="00AE4B5E">
      <w:rPr>
        <w:rFonts w:ascii="Calibri" w:hAnsi="Calibri"/>
        <w:color w:val="4472C4" w:themeColor="accent1"/>
        <w:sz w:val="22"/>
        <w:szCs w:val="22"/>
      </w:rPr>
      <w:t xml:space="preserve">46509 Xanten </w:t>
    </w:r>
    <w:r w:rsidR="00965ACA" w:rsidRPr="00AE4B5E">
      <w:rPr>
        <w:rFonts w:ascii="Calibri" w:hAnsi="Calibri"/>
        <w:color w:val="4472C4" w:themeColor="accent1"/>
        <w:sz w:val="22"/>
        <w:szCs w:val="22"/>
      </w:rPr>
      <w:t>38</w:t>
    </w:r>
  </w:p>
  <w:p w14:paraId="7D67CAF8" w14:textId="0F35C830" w:rsidR="007A6738" w:rsidRDefault="007A6738" w:rsidP="001D242C">
    <w:pPr>
      <w:pStyle w:val="Fuzeile"/>
      <w:rPr>
        <w:rFonts w:ascii="Calibri" w:hAnsi="Calibri" w:cs="Times New Roman"/>
        <w:color w:val="4472C4" w:themeColor="accent1"/>
        <w:sz w:val="22"/>
        <w:szCs w:val="22"/>
        <w:lang w:eastAsia="de-DE"/>
      </w:rPr>
    </w:pPr>
    <w:r>
      <w:rPr>
        <w:rFonts w:ascii="Calibri" w:hAnsi="Calibri" w:cs="Times New Roman"/>
        <w:color w:val="4472C4" w:themeColor="accent1"/>
        <w:sz w:val="22"/>
        <w:szCs w:val="22"/>
        <w:lang w:eastAsia="de-DE"/>
      </w:rPr>
      <w:t>87561 Oberstdorf</w:t>
    </w:r>
    <w:r w:rsidR="00965ACA" w:rsidRPr="009D31FF">
      <w:rPr>
        <w:rFonts w:ascii="Calibri" w:hAnsi="Calibri" w:cs="Times New Roman"/>
        <w:color w:val="4472C4" w:themeColor="accent1"/>
        <w:sz w:val="22"/>
        <w:szCs w:val="22"/>
        <w:lang w:eastAsia="de-DE"/>
      </w:rPr>
      <w:t xml:space="preserve">                                          </w:t>
    </w:r>
    <w:r w:rsidR="009D31FF" w:rsidRPr="009D31FF">
      <w:rPr>
        <w:rFonts w:ascii="Calibri" w:hAnsi="Calibri" w:cs="Times New Roman"/>
        <w:color w:val="4472C4" w:themeColor="accent1"/>
        <w:sz w:val="22"/>
        <w:szCs w:val="22"/>
        <w:lang w:eastAsia="de-DE"/>
      </w:rPr>
      <w:tab/>
      <w:t xml:space="preserve">         </w:t>
    </w:r>
    <w:r w:rsidR="00965ACA" w:rsidRPr="009D31FF">
      <w:rPr>
        <w:rFonts w:ascii="Calibri" w:hAnsi="Calibri" w:cs="Times New Roman"/>
        <w:color w:val="4472C4" w:themeColor="accent1"/>
        <w:sz w:val="22"/>
        <w:szCs w:val="22"/>
        <w:lang w:eastAsia="de-DE"/>
      </w:rPr>
      <w:t xml:space="preserve">           </w:t>
    </w:r>
    <w:r w:rsidR="009D31FF" w:rsidRPr="009D31FF">
      <w:rPr>
        <w:rFonts w:ascii="Calibri" w:hAnsi="Calibri" w:cs="Times New Roman"/>
        <w:color w:val="4472C4" w:themeColor="accent1"/>
        <w:sz w:val="22"/>
        <w:szCs w:val="22"/>
        <w:lang w:eastAsia="de-DE"/>
      </w:rPr>
      <w:t xml:space="preserve"> </w:t>
    </w:r>
    <w:r w:rsidR="00965ACA" w:rsidRPr="009D31FF">
      <w:rPr>
        <w:rFonts w:ascii="Calibri" w:hAnsi="Calibri" w:cs="Times New Roman"/>
        <w:color w:val="4472C4" w:themeColor="accent1"/>
        <w:sz w:val="22"/>
        <w:szCs w:val="22"/>
        <w:lang w:eastAsia="de-DE"/>
      </w:rPr>
      <w:t xml:space="preserve"> </w:t>
    </w:r>
    <w:r>
      <w:rPr>
        <w:rFonts w:ascii="Calibri" w:hAnsi="Calibri" w:cs="Times New Roman"/>
        <w:color w:val="4472C4" w:themeColor="accent1"/>
        <w:sz w:val="22"/>
        <w:szCs w:val="22"/>
        <w:lang w:eastAsia="de-DE"/>
      </w:rPr>
      <w:t xml:space="preserve">                  </w:t>
    </w:r>
    <w:r w:rsidRPr="009D31FF">
      <w:rPr>
        <w:rFonts w:ascii="Calibri" w:hAnsi="Calibri" w:cs="Times New Roman"/>
        <w:color w:val="4472C4" w:themeColor="accent1"/>
        <w:sz w:val="22"/>
        <w:szCs w:val="22"/>
        <w:lang w:eastAsia="de-DE"/>
      </w:rPr>
      <w:t>Tel.: +49 (0) 28 01 80 464 38</w:t>
    </w:r>
  </w:p>
  <w:p w14:paraId="0FBDECEA" w14:textId="30345DE0" w:rsidR="001D242C" w:rsidRPr="009D31FF" w:rsidRDefault="007A6738" w:rsidP="001D242C">
    <w:pPr>
      <w:pStyle w:val="Fuzeile"/>
      <w:rPr>
        <w:rFonts w:ascii="Calibri" w:hAnsi="Calibri" w:cs="Times New Roman"/>
        <w:color w:val="000000"/>
        <w:sz w:val="22"/>
        <w:szCs w:val="22"/>
        <w:lang w:eastAsia="de-DE"/>
      </w:rPr>
    </w:pPr>
    <w:r>
      <w:rPr>
        <w:rFonts w:ascii="Calibri" w:hAnsi="Calibri" w:cs="Times New Roman"/>
        <w:color w:val="4472C4" w:themeColor="accent1"/>
        <w:sz w:val="22"/>
        <w:szCs w:val="22"/>
        <w:lang w:eastAsia="de-DE"/>
      </w:rPr>
      <w:t>Mob.: +49 (0) 173 894 06 21</w:t>
    </w:r>
    <w:r w:rsidR="00965ACA" w:rsidRPr="009D31FF">
      <w:rPr>
        <w:rFonts w:ascii="Calibri" w:hAnsi="Calibri" w:cs="Times New Roman"/>
        <w:color w:val="4472C4" w:themeColor="accent1"/>
        <w:sz w:val="22"/>
        <w:szCs w:val="22"/>
        <w:lang w:eastAsia="de-DE"/>
      </w:rPr>
      <w:t xml:space="preserve">    </w:t>
    </w:r>
    <w:r w:rsidR="001D242C" w:rsidRPr="009D31FF">
      <w:rPr>
        <w:rFonts w:ascii="Calibri" w:hAnsi="Calibri" w:cs="Times New Roman"/>
        <w:color w:val="4472C4" w:themeColor="accent1"/>
        <w:sz w:val="22"/>
        <w:szCs w:val="22"/>
        <w:lang w:eastAsia="de-DE"/>
      </w:rPr>
      <w:t xml:space="preserve">            </w:t>
    </w:r>
    <w:r>
      <w:rPr>
        <w:rFonts w:ascii="Calibri" w:hAnsi="Calibri" w:cs="Times New Roman"/>
        <w:color w:val="4472C4" w:themeColor="accent1"/>
        <w:sz w:val="22"/>
        <w:szCs w:val="22"/>
        <w:lang w:eastAsia="de-DE"/>
      </w:rPr>
      <w:tab/>
      <w:t xml:space="preserve">                                               </w:t>
    </w:r>
    <w:hyperlink r:id="rId1" w:history="1">
      <w:r w:rsidRPr="00E23B4C">
        <w:rPr>
          <w:rStyle w:val="Hyperlink"/>
          <w:rFonts w:ascii="Calibri" w:hAnsi="Calibri" w:cs="Times New Roman"/>
          <w:sz w:val="22"/>
          <w:szCs w:val="22"/>
          <w:lang w:eastAsia="de-DE"/>
        </w:rPr>
        <w:t>presse@rbk-pr.de</w:t>
      </w:r>
    </w:hyperlink>
  </w:p>
  <w:p w14:paraId="6A128DF5" w14:textId="7FEF207B"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CEDAE" w14:textId="77777777" w:rsidR="00A27C04" w:rsidRDefault="00A27C04" w:rsidP="001D242C">
      <w:r>
        <w:separator/>
      </w:r>
    </w:p>
  </w:footnote>
  <w:footnote w:type="continuationSeparator" w:id="0">
    <w:p w14:paraId="5C9FE62A" w14:textId="77777777" w:rsidR="00A27C04" w:rsidRDefault="00A27C04"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75A68AC3" w:rsidR="001D242C" w:rsidRDefault="001D242C" w:rsidP="001B151D">
    <w:pPr>
      <w:pStyle w:val="Kopfzeile"/>
      <w:tabs>
        <w:tab w:val="clear" w:pos="9072"/>
      </w:tabs>
      <w:ind w:right="-992"/>
    </w:pPr>
    <w:r>
      <w:tab/>
    </w:r>
    <w:r w:rsidR="001B151D">
      <w:tab/>
    </w:r>
    <w:r w:rsidR="001B151D">
      <w:tab/>
    </w:r>
    <w:r>
      <w:tab/>
      <w:t xml:space="preserve">        </w:t>
    </w:r>
    <w:r w:rsidR="00A54A7F">
      <w:rPr>
        <w:noProof/>
      </w:rPr>
      <w:drawing>
        <wp:inline distT="0" distB="0" distL="0" distR="0" wp14:anchorId="11265846" wp14:editId="3C221088">
          <wp:extent cx="1439333" cy="339728"/>
          <wp:effectExtent l="0" t="0" r="0"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a14="http://schemas.microsoft.com/office/drawing/2010/main" val="0"/>
                      </a:ext>
                    </a:extLst>
                  </a:blip>
                  <a:stretch>
                    <a:fillRect/>
                  </a:stretch>
                </pic:blipFill>
                <pic:spPr>
                  <a:xfrm>
                    <a:off x="0" y="0"/>
                    <a:ext cx="1517271" cy="358124"/>
                  </a:xfrm>
                  <a:prstGeom prst="rect">
                    <a:avLst/>
                  </a:prstGeom>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B3612E"/>
    <w:multiLevelType w:val="hybridMultilevel"/>
    <w:tmpl w:val="A6C67B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D2D"/>
    <w:rsid w:val="00011E9F"/>
    <w:rsid w:val="00020022"/>
    <w:rsid w:val="00034BCB"/>
    <w:rsid w:val="00050D2D"/>
    <w:rsid w:val="000545F2"/>
    <w:rsid w:val="00055D93"/>
    <w:rsid w:val="00076FE9"/>
    <w:rsid w:val="000954C4"/>
    <w:rsid w:val="000A1CF7"/>
    <w:rsid w:val="000A5F9A"/>
    <w:rsid w:val="000A6621"/>
    <w:rsid w:val="000A7C89"/>
    <w:rsid w:val="000B1FD8"/>
    <w:rsid w:val="000B4C78"/>
    <w:rsid w:val="000B7AD1"/>
    <w:rsid w:val="000D1658"/>
    <w:rsid w:val="000D7315"/>
    <w:rsid w:val="000D75D2"/>
    <w:rsid w:val="000F2CEB"/>
    <w:rsid w:val="000F4E87"/>
    <w:rsid w:val="001026C0"/>
    <w:rsid w:val="0011259F"/>
    <w:rsid w:val="0013244F"/>
    <w:rsid w:val="00174147"/>
    <w:rsid w:val="00176977"/>
    <w:rsid w:val="00177D32"/>
    <w:rsid w:val="00181411"/>
    <w:rsid w:val="00183532"/>
    <w:rsid w:val="00186230"/>
    <w:rsid w:val="001A524A"/>
    <w:rsid w:val="001B151D"/>
    <w:rsid w:val="001C0451"/>
    <w:rsid w:val="001C18E2"/>
    <w:rsid w:val="001C5EDF"/>
    <w:rsid w:val="001D0B47"/>
    <w:rsid w:val="001D242C"/>
    <w:rsid w:val="001D4EFB"/>
    <w:rsid w:val="001F277F"/>
    <w:rsid w:val="00200466"/>
    <w:rsid w:val="00202EA2"/>
    <w:rsid w:val="00204985"/>
    <w:rsid w:val="002144C8"/>
    <w:rsid w:val="002163FC"/>
    <w:rsid w:val="002238D6"/>
    <w:rsid w:val="00225D3B"/>
    <w:rsid w:val="00230A80"/>
    <w:rsid w:val="00233599"/>
    <w:rsid w:val="002343D7"/>
    <w:rsid w:val="00235A0C"/>
    <w:rsid w:val="0024791A"/>
    <w:rsid w:val="002573F2"/>
    <w:rsid w:val="00257AB4"/>
    <w:rsid w:val="00263B13"/>
    <w:rsid w:val="0028387A"/>
    <w:rsid w:val="00290D6A"/>
    <w:rsid w:val="002A5B9F"/>
    <w:rsid w:val="002A69D8"/>
    <w:rsid w:val="002C4287"/>
    <w:rsid w:val="002C482E"/>
    <w:rsid w:val="002C4A76"/>
    <w:rsid w:val="002D0EAC"/>
    <w:rsid w:val="002E6DDE"/>
    <w:rsid w:val="002F2B1D"/>
    <w:rsid w:val="00322FDA"/>
    <w:rsid w:val="00325594"/>
    <w:rsid w:val="00330927"/>
    <w:rsid w:val="00367F19"/>
    <w:rsid w:val="00370035"/>
    <w:rsid w:val="00375C40"/>
    <w:rsid w:val="00380730"/>
    <w:rsid w:val="003900F1"/>
    <w:rsid w:val="003B45B8"/>
    <w:rsid w:val="003B69BB"/>
    <w:rsid w:val="003C7625"/>
    <w:rsid w:val="003D0D6E"/>
    <w:rsid w:val="003D3956"/>
    <w:rsid w:val="003E5B00"/>
    <w:rsid w:val="003E66D5"/>
    <w:rsid w:val="003F703C"/>
    <w:rsid w:val="003F7ED4"/>
    <w:rsid w:val="00400AE9"/>
    <w:rsid w:val="00406E0A"/>
    <w:rsid w:val="00407436"/>
    <w:rsid w:val="004156AE"/>
    <w:rsid w:val="0043014C"/>
    <w:rsid w:val="00445157"/>
    <w:rsid w:val="00446B70"/>
    <w:rsid w:val="00453D3F"/>
    <w:rsid w:val="004627CB"/>
    <w:rsid w:val="00463809"/>
    <w:rsid w:val="00465ACE"/>
    <w:rsid w:val="00466276"/>
    <w:rsid w:val="004A7575"/>
    <w:rsid w:val="004B121C"/>
    <w:rsid w:val="004B15DF"/>
    <w:rsid w:val="004B2476"/>
    <w:rsid w:val="004B6DCB"/>
    <w:rsid w:val="004C2FEF"/>
    <w:rsid w:val="004D0E21"/>
    <w:rsid w:val="004F7653"/>
    <w:rsid w:val="00503FEA"/>
    <w:rsid w:val="00505A5C"/>
    <w:rsid w:val="00512075"/>
    <w:rsid w:val="005127C0"/>
    <w:rsid w:val="00517550"/>
    <w:rsid w:val="00520CDA"/>
    <w:rsid w:val="0053507C"/>
    <w:rsid w:val="00553B67"/>
    <w:rsid w:val="00577F29"/>
    <w:rsid w:val="00584224"/>
    <w:rsid w:val="005C31A3"/>
    <w:rsid w:val="005D4AF1"/>
    <w:rsid w:val="005E194F"/>
    <w:rsid w:val="00624092"/>
    <w:rsid w:val="00645403"/>
    <w:rsid w:val="006601C6"/>
    <w:rsid w:val="006617DD"/>
    <w:rsid w:val="00671223"/>
    <w:rsid w:val="00672FDB"/>
    <w:rsid w:val="00677BFF"/>
    <w:rsid w:val="006803E5"/>
    <w:rsid w:val="00680437"/>
    <w:rsid w:val="00681430"/>
    <w:rsid w:val="00684C2B"/>
    <w:rsid w:val="00686C21"/>
    <w:rsid w:val="00687ED0"/>
    <w:rsid w:val="006A5F02"/>
    <w:rsid w:val="006A7824"/>
    <w:rsid w:val="006B7544"/>
    <w:rsid w:val="006C159D"/>
    <w:rsid w:val="006D6FD5"/>
    <w:rsid w:val="00711852"/>
    <w:rsid w:val="00716091"/>
    <w:rsid w:val="0075076C"/>
    <w:rsid w:val="0075168A"/>
    <w:rsid w:val="00752D43"/>
    <w:rsid w:val="0076355D"/>
    <w:rsid w:val="007647DD"/>
    <w:rsid w:val="00797101"/>
    <w:rsid w:val="007A21B9"/>
    <w:rsid w:val="007A6738"/>
    <w:rsid w:val="007B2EA4"/>
    <w:rsid w:val="007D5A55"/>
    <w:rsid w:val="007D7556"/>
    <w:rsid w:val="007E135B"/>
    <w:rsid w:val="007F433D"/>
    <w:rsid w:val="00800109"/>
    <w:rsid w:val="00800DA2"/>
    <w:rsid w:val="008141F8"/>
    <w:rsid w:val="00814AA7"/>
    <w:rsid w:val="0081664F"/>
    <w:rsid w:val="00822275"/>
    <w:rsid w:val="00845F66"/>
    <w:rsid w:val="008B6243"/>
    <w:rsid w:val="008C3070"/>
    <w:rsid w:val="008C4C2C"/>
    <w:rsid w:val="008F0EF4"/>
    <w:rsid w:val="008F46B4"/>
    <w:rsid w:val="0090277E"/>
    <w:rsid w:val="00910040"/>
    <w:rsid w:val="009124AF"/>
    <w:rsid w:val="00920441"/>
    <w:rsid w:val="009306E5"/>
    <w:rsid w:val="00937BE2"/>
    <w:rsid w:val="00955667"/>
    <w:rsid w:val="00956CB0"/>
    <w:rsid w:val="009573FB"/>
    <w:rsid w:val="009614BC"/>
    <w:rsid w:val="00965ACA"/>
    <w:rsid w:val="00971DD0"/>
    <w:rsid w:val="00972277"/>
    <w:rsid w:val="009905A9"/>
    <w:rsid w:val="00991D14"/>
    <w:rsid w:val="009A0615"/>
    <w:rsid w:val="009B45AF"/>
    <w:rsid w:val="009D31FF"/>
    <w:rsid w:val="009E15D9"/>
    <w:rsid w:val="009E70B1"/>
    <w:rsid w:val="009F4010"/>
    <w:rsid w:val="009F4E56"/>
    <w:rsid w:val="00A0679D"/>
    <w:rsid w:val="00A15AB2"/>
    <w:rsid w:val="00A279EE"/>
    <w:rsid w:val="00A27C04"/>
    <w:rsid w:val="00A360FD"/>
    <w:rsid w:val="00A54A7F"/>
    <w:rsid w:val="00A575CF"/>
    <w:rsid w:val="00A6546C"/>
    <w:rsid w:val="00A6774E"/>
    <w:rsid w:val="00A73E6D"/>
    <w:rsid w:val="00A7684B"/>
    <w:rsid w:val="00A81073"/>
    <w:rsid w:val="00AA37CB"/>
    <w:rsid w:val="00AC3BA5"/>
    <w:rsid w:val="00AD3B96"/>
    <w:rsid w:val="00AD6101"/>
    <w:rsid w:val="00AD771A"/>
    <w:rsid w:val="00AE4B5E"/>
    <w:rsid w:val="00AE7C1F"/>
    <w:rsid w:val="00AF56E8"/>
    <w:rsid w:val="00B11D55"/>
    <w:rsid w:val="00B14E2E"/>
    <w:rsid w:val="00B21F67"/>
    <w:rsid w:val="00B50194"/>
    <w:rsid w:val="00B53B17"/>
    <w:rsid w:val="00B63BA1"/>
    <w:rsid w:val="00B8125A"/>
    <w:rsid w:val="00B9465F"/>
    <w:rsid w:val="00BA51C6"/>
    <w:rsid w:val="00BB1495"/>
    <w:rsid w:val="00BB2604"/>
    <w:rsid w:val="00BC2FAA"/>
    <w:rsid w:val="00BC4F54"/>
    <w:rsid w:val="00BD0BD8"/>
    <w:rsid w:val="00BD62CB"/>
    <w:rsid w:val="00C0224A"/>
    <w:rsid w:val="00C0584D"/>
    <w:rsid w:val="00C07A83"/>
    <w:rsid w:val="00C10869"/>
    <w:rsid w:val="00C129FB"/>
    <w:rsid w:val="00C35BC7"/>
    <w:rsid w:val="00C45D04"/>
    <w:rsid w:val="00C45D79"/>
    <w:rsid w:val="00C6050C"/>
    <w:rsid w:val="00C62D91"/>
    <w:rsid w:val="00C70A99"/>
    <w:rsid w:val="00C72C20"/>
    <w:rsid w:val="00C7697C"/>
    <w:rsid w:val="00C77556"/>
    <w:rsid w:val="00CA64BF"/>
    <w:rsid w:val="00CC20D2"/>
    <w:rsid w:val="00CC7177"/>
    <w:rsid w:val="00CD3B49"/>
    <w:rsid w:val="00CD70ED"/>
    <w:rsid w:val="00D01213"/>
    <w:rsid w:val="00D33E3D"/>
    <w:rsid w:val="00D4138C"/>
    <w:rsid w:val="00D42D1B"/>
    <w:rsid w:val="00D55924"/>
    <w:rsid w:val="00D559DF"/>
    <w:rsid w:val="00D646E2"/>
    <w:rsid w:val="00D72347"/>
    <w:rsid w:val="00D76B26"/>
    <w:rsid w:val="00D826D2"/>
    <w:rsid w:val="00D827B2"/>
    <w:rsid w:val="00D86FCC"/>
    <w:rsid w:val="00D91488"/>
    <w:rsid w:val="00D94C99"/>
    <w:rsid w:val="00DB3979"/>
    <w:rsid w:val="00DC12D0"/>
    <w:rsid w:val="00DF4F1A"/>
    <w:rsid w:val="00E03131"/>
    <w:rsid w:val="00E074FF"/>
    <w:rsid w:val="00E42F33"/>
    <w:rsid w:val="00E61930"/>
    <w:rsid w:val="00E63DC7"/>
    <w:rsid w:val="00E877AE"/>
    <w:rsid w:val="00E9146C"/>
    <w:rsid w:val="00E921A8"/>
    <w:rsid w:val="00EA244E"/>
    <w:rsid w:val="00EA2E73"/>
    <w:rsid w:val="00EA7C0A"/>
    <w:rsid w:val="00EC6F41"/>
    <w:rsid w:val="00ED3361"/>
    <w:rsid w:val="00EE0065"/>
    <w:rsid w:val="00EE0574"/>
    <w:rsid w:val="00EE20CA"/>
    <w:rsid w:val="00F058A7"/>
    <w:rsid w:val="00F14289"/>
    <w:rsid w:val="00F26A37"/>
    <w:rsid w:val="00F31D34"/>
    <w:rsid w:val="00F32217"/>
    <w:rsid w:val="00F33052"/>
    <w:rsid w:val="00F34ED0"/>
    <w:rsid w:val="00F46B72"/>
    <w:rsid w:val="00F47DE1"/>
    <w:rsid w:val="00F8422A"/>
    <w:rsid w:val="00F97824"/>
    <w:rsid w:val="00FA2F0A"/>
    <w:rsid w:val="00FC0D18"/>
    <w:rsid w:val="00FC344E"/>
    <w:rsid w:val="00FC790F"/>
    <w:rsid w:val="00FD1DFB"/>
    <w:rsid w:val="00FD2274"/>
    <w:rsid w:val="00FD43BD"/>
    <w:rsid w:val="00FE2A1D"/>
    <w:rsid w:val="00FE3EC2"/>
    <w:rsid w:val="00FE5D22"/>
    <w:rsid w:val="00FE6DB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docId w15:val="{DE541535-8DAD-9844-B25B-7A6A87B18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A7C89"/>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72347"/>
    <w:pPr>
      <w:spacing w:before="100" w:beforeAutospacing="1" w:after="100" w:afterAutospacing="1"/>
      <w:outlineLvl w:val="0"/>
    </w:pPr>
    <w:rPr>
      <w:b/>
      <w:bCs/>
      <w:kern w:val="36"/>
      <w:sz w:val="48"/>
      <w:szCs w:val="4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rPr>
      <w:rFonts w:asciiTheme="minorHAnsi" w:eastAsiaTheme="minorHAnsi" w:hAnsiTheme="minorHAnsi" w:cstheme="minorBidi"/>
      <w:lang w:eastAsia="en-US"/>
    </w:r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rPr>
      <w:rFonts w:asciiTheme="minorHAnsi" w:eastAsiaTheme="minorHAnsi" w:hAnsiTheme="minorHAnsi" w:cstheme="minorBidi"/>
      <w:lang w:eastAsia="en-US"/>
    </w:r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eastAsiaTheme="minorHAnsi"/>
      <w:lang w:eastAsia="en-US"/>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paragraph" w:styleId="Sprechblasentext">
    <w:name w:val="Balloon Text"/>
    <w:basedOn w:val="Standard"/>
    <w:link w:val="SprechblasentextZchn"/>
    <w:uiPriority w:val="99"/>
    <w:semiHidden/>
    <w:unhideWhenUsed/>
    <w:rsid w:val="00AC3BA5"/>
    <w:rPr>
      <w:rFonts w:ascii="Tahoma" w:eastAsiaTheme="minorHAnsi" w:hAnsi="Tahoma" w:cs="Tahoma"/>
      <w:sz w:val="16"/>
      <w:szCs w:val="16"/>
      <w:lang w:eastAsia="en-US"/>
    </w:rPr>
  </w:style>
  <w:style w:type="character" w:customStyle="1" w:styleId="SprechblasentextZchn">
    <w:name w:val="Sprechblasentext Zchn"/>
    <w:basedOn w:val="Absatz-Standardschriftart"/>
    <w:link w:val="Sprechblasentext"/>
    <w:uiPriority w:val="99"/>
    <w:semiHidden/>
    <w:rsid w:val="00AC3BA5"/>
    <w:rPr>
      <w:rFonts w:ascii="Tahoma" w:hAnsi="Tahoma" w:cs="Tahoma"/>
      <w:sz w:val="16"/>
      <w:szCs w:val="16"/>
    </w:rPr>
  </w:style>
  <w:style w:type="paragraph" w:styleId="Listenabsatz">
    <w:name w:val="List Paragraph"/>
    <w:basedOn w:val="Standard"/>
    <w:uiPriority w:val="34"/>
    <w:qFormat/>
    <w:rsid w:val="00C45D04"/>
    <w:pPr>
      <w:ind w:left="720"/>
      <w:contextualSpacing/>
    </w:pPr>
    <w:rPr>
      <w:rFonts w:asciiTheme="minorHAnsi" w:eastAsiaTheme="minorHAnsi" w:hAnsiTheme="minorHAnsi" w:cstheme="minorBidi"/>
      <w:lang w:eastAsia="en-US"/>
    </w:rPr>
  </w:style>
  <w:style w:type="character" w:customStyle="1" w:styleId="berschrift1Zchn">
    <w:name w:val="Überschrift 1 Zchn"/>
    <w:basedOn w:val="Absatz-Standardschriftart"/>
    <w:link w:val="berschrift1"/>
    <w:uiPriority w:val="9"/>
    <w:rsid w:val="00D72347"/>
    <w:rPr>
      <w:rFonts w:ascii="Times New Roman" w:eastAsia="Times New Roman" w:hAnsi="Times New Roman" w:cs="Times New Roman"/>
      <w:b/>
      <w:bCs/>
      <w:kern w:val="36"/>
      <w:sz w:val="48"/>
      <w:szCs w:val="48"/>
      <w:lang w:eastAsia="de-DE"/>
    </w:rPr>
  </w:style>
  <w:style w:type="character" w:styleId="NichtaufgelsteErwhnung">
    <w:name w:val="Unresolved Mention"/>
    <w:basedOn w:val="Absatz-Standardschriftart"/>
    <w:uiPriority w:val="99"/>
    <w:semiHidden/>
    <w:unhideWhenUsed/>
    <w:rsid w:val="007A6738"/>
    <w:rPr>
      <w:color w:val="605E5C"/>
      <w:shd w:val="clear" w:color="auto" w:fill="E1DFDD"/>
    </w:rPr>
  </w:style>
  <w:style w:type="table" w:styleId="Tabellenraster">
    <w:name w:val="Table Grid"/>
    <w:basedOn w:val="NormaleTabelle"/>
    <w:uiPriority w:val="39"/>
    <w:rsid w:val="00C775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960012">
      <w:bodyDiv w:val="1"/>
      <w:marLeft w:val="0"/>
      <w:marRight w:val="0"/>
      <w:marTop w:val="0"/>
      <w:marBottom w:val="0"/>
      <w:divBdr>
        <w:top w:val="none" w:sz="0" w:space="0" w:color="auto"/>
        <w:left w:val="none" w:sz="0" w:space="0" w:color="auto"/>
        <w:bottom w:val="none" w:sz="0" w:space="0" w:color="auto"/>
        <w:right w:val="none" w:sz="0" w:space="0" w:color="auto"/>
      </w:divBdr>
    </w:div>
    <w:div w:id="672800698">
      <w:bodyDiv w:val="1"/>
      <w:marLeft w:val="0"/>
      <w:marRight w:val="0"/>
      <w:marTop w:val="0"/>
      <w:marBottom w:val="0"/>
      <w:divBdr>
        <w:top w:val="none" w:sz="0" w:space="0" w:color="auto"/>
        <w:left w:val="none" w:sz="0" w:space="0" w:color="auto"/>
        <w:bottom w:val="none" w:sz="0" w:space="0" w:color="auto"/>
        <w:right w:val="none" w:sz="0" w:space="0" w:color="auto"/>
      </w:divBdr>
    </w:div>
    <w:div w:id="790436273">
      <w:bodyDiv w:val="1"/>
      <w:marLeft w:val="0"/>
      <w:marRight w:val="0"/>
      <w:marTop w:val="0"/>
      <w:marBottom w:val="0"/>
      <w:divBdr>
        <w:top w:val="none" w:sz="0" w:space="0" w:color="auto"/>
        <w:left w:val="none" w:sz="0" w:space="0" w:color="auto"/>
        <w:bottom w:val="none" w:sz="0" w:space="0" w:color="auto"/>
        <w:right w:val="none" w:sz="0" w:space="0" w:color="auto"/>
      </w:divBdr>
    </w:div>
    <w:div w:id="19711579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s>
</file>

<file path=word/_rels/footer1.xml.rels><?xml version="1.0" encoding="UTF-8" standalone="yes"?>
<Relationships xmlns="http://schemas.openxmlformats.org/package/2006/relationships"><Relationship Id="rId1" Type="http://schemas.openxmlformats.org/officeDocument/2006/relationships/hyperlink" Target="mailto:presse@rbk-p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gi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3F767C6-61E9-EA42-872C-F202F98AD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751</Words>
  <Characters>5054</Characters>
  <Application>Microsoft Office Word</Application>
  <DocSecurity>0</DocSecurity>
  <Lines>97</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Office-Anwender</dc:creator>
  <cp:lastModifiedBy>Camillo F. Kluge</cp:lastModifiedBy>
  <cp:revision>26</cp:revision>
  <cp:lastPrinted>2020-07-13T08:04:00Z</cp:lastPrinted>
  <dcterms:created xsi:type="dcterms:W3CDTF">2021-03-08T14:43:00Z</dcterms:created>
  <dcterms:modified xsi:type="dcterms:W3CDTF">2022-01-20T15:58:00Z</dcterms:modified>
</cp:coreProperties>
</file>